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EA7114" w:rsidRDefault="0062654F" w:rsidP="00D00544">
      <w:pPr>
        <w:pStyle w:val="Heading1"/>
        <w:rPr>
          <w:sz w:val="24"/>
          <w:szCs w:val="24"/>
        </w:rPr>
      </w:pPr>
      <w:r w:rsidRPr="00EA7114">
        <w:rPr>
          <w:sz w:val="24"/>
          <w:szCs w:val="24"/>
        </w:rPr>
        <w:t xml:space="preserve">INTEGRATIVE LEARNING CORE </w:t>
      </w:r>
      <w:r w:rsidR="005E5E0F" w:rsidRPr="00EA7114">
        <w:rPr>
          <w:sz w:val="24"/>
          <w:szCs w:val="24"/>
        </w:rPr>
        <w:t>COURSE PROPOSAL</w:t>
      </w:r>
    </w:p>
    <w:p w14:paraId="28FFBDAA" w14:textId="7E9BEC60" w:rsidR="00E7226E" w:rsidRDefault="00FC6E41" w:rsidP="00E7226E">
      <w:pPr>
        <w:jc w:val="center"/>
        <w:rPr>
          <w:b/>
        </w:rPr>
      </w:pPr>
      <w:r>
        <w:rPr>
          <w:b/>
        </w:rPr>
        <w:t>CIVIC ENGAGEMENT</w:t>
      </w:r>
    </w:p>
    <w:p w14:paraId="3EC82419" w14:textId="77777777" w:rsidR="0001593D" w:rsidRDefault="0001593D" w:rsidP="00E7226E">
      <w:pPr>
        <w:jc w:val="center"/>
        <w:rPr>
          <w:b/>
        </w:rPr>
      </w:pPr>
    </w:p>
    <w:p w14:paraId="2A29C65D" w14:textId="6237E3B3" w:rsidR="0001593D" w:rsidRDefault="0001593D" w:rsidP="0001593D">
      <w:pPr>
        <w:rPr>
          <w:b/>
        </w:rPr>
      </w:pPr>
      <w:r>
        <w:rPr>
          <w:b/>
        </w:rPr>
        <w:tab/>
      </w:r>
      <w:r w:rsidRPr="0001593D">
        <w:rPr>
          <w:b/>
          <w:sz w:val="22"/>
        </w:rPr>
        <w:t xml:space="preserve">If preferred, you may download the </w:t>
      </w:r>
      <w:hyperlink r:id="rId9" w:history="1">
        <w:r w:rsidRPr="0001593D">
          <w:rPr>
            <w:rStyle w:val="Hyperlink"/>
            <w:b/>
            <w:sz w:val="22"/>
          </w:rPr>
          <w:t>live Adobe version</w:t>
        </w:r>
      </w:hyperlink>
      <w:r w:rsidRPr="0001593D">
        <w:rPr>
          <w:b/>
          <w:sz w:val="22"/>
        </w:rPr>
        <w:t xml:space="preserve"> of the signature page.</w:t>
      </w:r>
    </w:p>
    <w:p w14:paraId="435050C2" w14:textId="3415D9C2" w:rsidR="00E7226E" w:rsidRDefault="00E7226E" w:rsidP="00E7226E">
      <w:pPr>
        <w:rPr>
          <w:u w:val="single"/>
        </w:rPr>
      </w:pPr>
    </w:p>
    <w:p w14:paraId="454FA9F0" w14:textId="77777777" w:rsidR="00757E66" w:rsidRDefault="00757E66" w:rsidP="00E7226E">
      <w:pPr>
        <w:rPr>
          <w:b/>
          <w:bCs/>
          <w:sz w:val="22"/>
          <w:szCs w:val="22"/>
        </w:rPr>
        <w:sectPr w:rsidR="00757E66" w:rsidSect="005C7D5F">
          <w:headerReference w:type="even" r:id="rId10"/>
          <w:footerReference w:type="even" r:id="rId11"/>
          <w:footerReference w:type="default" r:id="rId12"/>
          <w:type w:val="continuous"/>
          <w:pgSz w:w="12240" w:h="15840"/>
          <w:pgMar w:top="30" w:right="720" w:bottom="720" w:left="720" w:header="0" w:footer="288" w:gutter="0"/>
          <w:cols w:space="720"/>
          <w:docGrid w:linePitch="360"/>
        </w:sectPr>
      </w:pPr>
    </w:p>
    <w:p w14:paraId="7B36FBF0" w14:textId="77777777" w:rsidR="00E7226E" w:rsidRPr="00D04B66" w:rsidRDefault="00E7226E" w:rsidP="00E7226E">
      <w:pPr>
        <w:rPr>
          <w:b/>
          <w:bCs/>
          <w:sz w:val="22"/>
          <w:szCs w:val="22"/>
          <w:u w:val="single"/>
        </w:rPr>
      </w:pPr>
      <w:r w:rsidRPr="00D04B66">
        <w:rPr>
          <w:b/>
          <w:bCs/>
          <w:sz w:val="22"/>
          <w:szCs w:val="22"/>
          <w:u w:val="single"/>
        </w:rPr>
        <w:t>Primary Course</w:t>
      </w:r>
      <w:r>
        <w:rPr>
          <w:b/>
          <w:bCs/>
          <w:sz w:val="22"/>
          <w:szCs w:val="22"/>
          <w:u w:val="single"/>
        </w:rPr>
        <w:t xml:space="preserve">: </w:t>
      </w:r>
      <w:r w:rsidRPr="00D95095">
        <w:rPr>
          <w:noProof/>
          <w:sz w:val="22"/>
          <w:szCs w:val="22"/>
        </w:rPr>
        <w:drawing>
          <wp:inline distT="0" distB="0" distL="0" distR="0" wp14:anchorId="5C25D785" wp14:editId="07749B94">
            <wp:extent cx="2124075" cy="238125"/>
            <wp:effectExtent l="0" t="0" r="9525" b="9525"/>
            <wp:docPr id="2" name="Picture 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076C21BF" w14:textId="77777777" w:rsidR="00E7226E" w:rsidRPr="0001593D" w:rsidRDefault="00E7226E" w:rsidP="00E7226E">
      <w:pPr>
        <w:rPr>
          <w:b/>
          <w:bCs/>
          <w:sz w:val="20"/>
          <w:szCs w:val="22"/>
        </w:rPr>
      </w:pPr>
    </w:p>
    <w:p w14:paraId="5A576418" w14:textId="77777777" w:rsidR="00E7226E" w:rsidRPr="00D95095" w:rsidRDefault="00E7226E" w:rsidP="00E7226E">
      <w:pPr>
        <w:rPr>
          <w:bCs/>
          <w:sz w:val="22"/>
          <w:szCs w:val="22"/>
        </w:rPr>
      </w:pPr>
      <w:r w:rsidRPr="00D95095">
        <w:rPr>
          <w:b/>
          <w:bCs/>
          <w:sz w:val="22"/>
          <w:szCs w:val="22"/>
        </w:rPr>
        <w:t>Instructor/Course Coordinator</w:t>
      </w:r>
      <w:r w:rsidRPr="00D95095">
        <w:rPr>
          <w:bCs/>
          <w:sz w:val="22"/>
          <w:szCs w:val="22"/>
        </w:rPr>
        <w:t xml:space="preserve"> proposing the course for ILC:</w:t>
      </w:r>
    </w:p>
    <w:p w14:paraId="65A7C009" w14:textId="0DCA1497"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09A89E57" wp14:editId="1F8128AD">
            <wp:extent cx="2124075" cy="238125"/>
            <wp:effectExtent l="0" t="0" r="9525" b="9525"/>
            <wp:docPr id="31" name="Picture 3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r w:rsidR="00757E66">
        <w:rPr>
          <w:sz w:val="22"/>
          <w:szCs w:val="22"/>
        </w:rPr>
        <w:t xml:space="preserve"> </w:t>
      </w:r>
    </w:p>
    <w:p w14:paraId="6F7F18DF"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39C0EB75" wp14:editId="39023942">
            <wp:extent cx="1625600" cy="228600"/>
            <wp:effectExtent l="0" t="0" r="0" b="0"/>
            <wp:docPr id="32" name="Picture 3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228192E8" w14:textId="5395DE2F" w:rsidR="00E7226E" w:rsidRDefault="00E7226E" w:rsidP="00757E66">
      <w:pPr>
        <w:rPr>
          <w:sz w:val="22"/>
          <w:szCs w:val="22"/>
        </w:rPr>
      </w:pPr>
      <w:r>
        <w:rPr>
          <w:sz w:val="22"/>
          <w:szCs w:val="22"/>
        </w:rPr>
        <w:t>N</w:t>
      </w:r>
      <w:r w:rsidRPr="00D95095">
        <w:rPr>
          <w:sz w:val="22"/>
          <w:szCs w:val="22"/>
        </w:rPr>
        <w:t>ame:</w:t>
      </w:r>
      <w:r w:rsidRPr="00D95095">
        <w:rPr>
          <w:noProof/>
          <w:sz w:val="22"/>
          <w:szCs w:val="22"/>
        </w:rPr>
        <w:drawing>
          <wp:inline distT="0" distB="0" distL="0" distR="0" wp14:anchorId="107F3779" wp14:editId="255B6C99">
            <wp:extent cx="2324100" cy="228600"/>
            <wp:effectExtent l="0" t="0" r="0" b="0"/>
            <wp:docPr id="33" name="Picture 3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r w:rsidR="00757E66">
        <w:rPr>
          <w:sz w:val="22"/>
          <w:szCs w:val="22"/>
        </w:rPr>
        <w:t xml:space="preserve"> </w:t>
      </w:r>
    </w:p>
    <w:p w14:paraId="377988F7" w14:textId="77777777" w:rsidR="00757E66" w:rsidRPr="0001593D" w:rsidRDefault="00757E66" w:rsidP="00757E66">
      <w:pPr>
        <w:rPr>
          <w:b/>
          <w:bCs/>
          <w:sz w:val="20"/>
          <w:szCs w:val="22"/>
          <w:u w:val="single"/>
        </w:rPr>
      </w:pPr>
    </w:p>
    <w:p w14:paraId="5FED8128" w14:textId="77777777" w:rsidR="00E7226E" w:rsidRPr="00D95095" w:rsidRDefault="00E7226E" w:rsidP="00E7226E">
      <w:pPr>
        <w:pStyle w:val="ListParagraph"/>
        <w:ind w:left="0"/>
        <w:rPr>
          <w:bCs/>
          <w:sz w:val="22"/>
          <w:szCs w:val="22"/>
        </w:rPr>
      </w:pPr>
      <w:r w:rsidRPr="00D95095">
        <w:rPr>
          <w:b/>
          <w:bCs/>
          <w:sz w:val="22"/>
          <w:szCs w:val="22"/>
          <w:u w:val="single"/>
        </w:rPr>
        <w:t xml:space="preserve">Chair </w:t>
      </w:r>
      <w:r w:rsidRPr="00D95095">
        <w:rPr>
          <w:bCs/>
          <w:sz w:val="22"/>
          <w:szCs w:val="22"/>
          <w:u w:val="single"/>
        </w:rPr>
        <w:t>of the proposing unit/affirming approval by its instructor or appropriate faculty committee</w:t>
      </w:r>
      <w:r w:rsidRPr="00D95095">
        <w:rPr>
          <w:bCs/>
          <w:sz w:val="22"/>
          <w:szCs w:val="22"/>
        </w:rPr>
        <w:t>:</w:t>
      </w:r>
    </w:p>
    <w:p w14:paraId="3580C22F" w14:textId="7B06408B"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74F29B63" wp14:editId="3F61F855">
            <wp:extent cx="2085975" cy="228600"/>
            <wp:effectExtent l="0" t="0" r="9525" b="0"/>
            <wp:docPr id="11" name="Picture 1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p>
    <w:p w14:paraId="27A65912"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259A6583" wp14:editId="2C80AB0C">
            <wp:extent cx="1625600" cy="228600"/>
            <wp:effectExtent l="0" t="0" r="0" b="0"/>
            <wp:docPr id="12" name="Picture 1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4783F7C1" w14:textId="77777777" w:rsidR="00757E66" w:rsidRDefault="00E7226E" w:rsidP="00E7226E">
      <w:pPr>
        <w:rPr>
          <w:sz w:val="22"/>
          <w:szCs w:val="22"/>
        </w:rPr>
      </w:pPr>
      <w:r>
        <w:rPr>
          <w:sz w:val="22"/>
          <w:szCs w:val="22"/>
        </w:rPr>
        <w:t>Name</w:t>
      </w:r>
      <w:r w:rsidRPr="00D95095">
        <w:rPr>
          <w:sz w:val="22"/>
          <w:szCs w:val="22"/>
        </w:rPr>
        <w:t>:</w:t>
      </w:r>
      <w:r w:rsidRPr="00D95095">
        <w:rPr>
          <w:noProof/>
          <w:sz w:val="22"/>
          <w:szCs w:val="22"/>
        </w:rPr>
        <w:drawing>
          <wp:inline distT="0" distB="0" distL="0" distR="0" wp14:anchorId="25E7EA48" wp14:editId="5F2EC0DA">
            <wp:extent cx="2333625" cy="247650"/>
            <wp:effectExtent l="0" t="0" r="9525" b="0"/>
            <wp:docPr id="13" name="Picture 1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4831765B" w14:textId="070E37EB" w:rsidR="00E7226E" w:rsidRPr="0001593D" w:rsidRDefault="00E7226E" w:rsidP="00E7226E">
      <w:pPr>
        <w:rPr>
          <w:sz w:val="20"/>
          <w:szCs w:val="22"/>
        </w:rPr>
      </w:pPr>
      <w:r w:rsidRPr="00D95095">
        <w:rPr>
          <w:sz w:val="22"/>
          <w:szCs w:val="22"/>
        </w:rPr>
        <w:t xml:space="preserve"> </w:t>
      </w:r>
    </w:p>
    <w:p w14:paraId="2C9652F5" w14:textId="77777777" w:rsidR="00E7226E" w:rsidRPr="00D95095" w:rsidRDefault="00E7226E" w:rsidP="00E7226E">
      <w:pPr>
        <w:rPr>
          <w:bCs/>
          <w:sz w:val="22"/>
          <w:szCs w:val="22"/>
        </w:rPr>
      </w:pPr>
      <w:r w:rsidRPr="00D95095">
        <w:rPr>
          <w:b/>
          <w:bCs/>
          <w:sz w:val="22"/>
          <w:szCs w:val="22"/>
          <w:u w:val="single"/>
        </w:rPr>
        <w:t>Dean (Associate Dean)</w:t>
      </w:r>
      <w:r w:rsidRPr="00D95095">
        <w:rPr>
          <w:bCs/>
          <w:sz w:val="22"/>
          <w:szCs w:val="22"/>
          <w:u w:val="single"/>
        </w:rPr>
        <w:t xml:space="preserve"> of College or School, affirming support of the proposal</w:t>
      </w:r>
      <w:r w:rsidRPr="00D95095">
        <w:rPr>
          <w:bCs/>
          <w:sz w:val="22"/>
          <w:szCs w:val="22"/>
        </w:rPr>
        <w:t>:</w:t>
      </w:r>
    </w:p>
    <w:p w14:paraId="1DF948F0" w14:textId="77777777"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031978BD" wp14:editId="1FA94EB4">
            <wp:extent cx="2133600" cy="257175"/>
            <wp:effectExtent l="0" t="0" r="0" b="9525"/>
            <wp:docPr id="14" name="Picture 14"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7F6FE10C"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54FB904F" wp14:editId="3D3D0B42">
            <wp:extent cx="1625600" cy="228600"/>
            <wp:effectExtent l="0" t="0" r="0" b="0"/>
            <wp:docPr id="15" name="Picture 15"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02197C9A" w14:textId="77777777" w:rsidR="00E7226E" w:rsidRPr="00B755C6" w:rsidRDefault="00E7226E" w:rsidP="00E7226E">
      <w:pPr>
        <w:rPr>
          <w:sz w:val="22"/>
          <w:szCs w:val="22"/>
        </w:rPr>
      </w:pPr>
      <w:r>
        <w:rPr>
          <w:sz w:val="22"/>
          <w:szCs w:val="22"/>
        </w:rPr>
        <w:t>Name</w:t>
      </w:r>
      <w:r w:rsidRPr="00D95095">
        <w:rPr>
          <w:sz w:val="22"/>
          <w:szCs w:val="22"/>
        </w:rPr>
        <w:t>:</w:t>
      </w:r>
      <w:r w:rsidRPr="00D95095">
        <w:rPr>
          <w:noProof/>
          <w:sz w:val="22"/>
          <w:szCs w:val="22"/>
        </w:rPr>
        <w:drawing>
          <wp:inline distT="0" distB="0" distL="0" distR="0" wp14:anchorId="0326AE1C" wp14:editId="69E5C1D5">
            <wp:extent cx="2343150" cy="209550"/>
            <wp:effectExtent l="0" t="0" r="0" b="0"/>
            <wp:docPr id="16" name="Picture 16"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sidRPr="00D95095">
        <w:rPr>
          <w:sz w:val="22"/>
          <w:szCs w:val="22"/>
        </w:rPr>
        <w:t xml:space="preserve"> </w:t>
      </w:r>
    </w:p>
    <w:p w14:paraId="26CDE182" w14:textId="77777777" w:rsidR="00E7226E" w:rsidRPr="00D04B66" w:rsidRDefault="00E7226E" w:rsidP="00E7226E">
      <w:pPr>
        <w:rPr>
          <w:b/>
          <w:bCs/>
          <w:sz w:val="22"/>
          <w:szCs w:val="22"/>
          <w:u w:val="single"/>
        </w:rPr>
      </w:pPr>
      <w:r w:rsidRPr="00D04B66">
        <w:rPr>
          <w:b/>
          <w:bCs/>
          <w:sz w:val="22"/>
          <w:szCs w:val="22"/>
          <w:u w:val="single"/>
        </w:rPr>
        <w:t>Cross-Listed Course</w:t>
      </w:r>
      <w:r>
        <w:rPr>
          <w:b/>
          <w:bCs/>
          <w:sz w:val="22"/>
          <w:szCs w:val="22"/>
          <w:u w:val="single"/>
        </w:rPr>
        <w:t xml:space="preserve"> (if applicable): </w:t>
      </w:r>
      <w:r w:rsidRPr="00D95095">
        <w:rPr>
          <w:noProof/>
          <w:sz w:val="22"/>
          <w:szCs w:val="22"/>
        </w:rPr>
        <w:drawing>
          <wp:inline distT="0" distB="0" distL="0" distR="0" wp14:anchorId="4B078D65" wp14:editId="2E4A06EF">
            <wp:extent cx="1905000" cy="238125"/>
            <wp:effectExtent l="0" t="0" r="0" b="9525"/>
            <wp:docPr id="3" name="Picture 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43510F98" w14:textId="77777777" w:rsidR="00E7226E" w:rsidRPr="0001593D" w:rsidRDefault="00E7226E" w:rsidP="00E7226E">
      <w:pPr>
        <w:rPr>
          <w:b/>
          <w:bCs/>
          <w:sz w:val="20"/>
          <w:szCs w:val="22"/>
        </w:rPr>
      </w:pPr>
    </w:p>
    <w:p w14:paraId="17D0231F" w14:textId="77777777" w:rsidR="00E7226E" w:rsidRPr="00D95095" w:rsidRDefault="00E7226E" w:rsidP="00E7226E">
      <w:pPr>
        <w:rPr>
          <w:bCs/>
          <w:sz w:val="22"/>
          <w:szCs w:val="22"/>
        </w:rPr>
      </w:pPr>
      <w:r w:rsidRPr="00D95095">
        <w:rPr>
          <w:b/>
          <w:bCs/>
          <w:sz w:val="22"/>
          <w:szCs w:val="22"/>
        </w:rPr>
        <w:t>Instructor/Course Coordinator</w:t>
      </w:r>
      <w:r w:rsidRPr="00D95095">
        <w:rPr>
          <w:bCs/>
          <w:sz w:val="22"/>
          <w:szCs w:val="22"/>
        </w:rPr>
        <w:t xml:space="preserve"> proposing the course for ILC:</w:t>
      </w:r>
    </w:p>
    <w:p w14:paraId="26E01B21" w14:textId="037F1FC2"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4A2ABA8B" wp14:editId="68F8D0A5">
            <wp:extent cx="2143125" cy="238125"/>
            <wp:effectExtent l="0" t="0" r="9525" b="9525"/>
            <wp:docPr id="10" name="Picture 10"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p>
    <w:p w14:paraId="7E7D83AC"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0518DD1F" wp14:editId="2C693145">
            <wp:extent cx="1625600" cy="228600"/>
            <wp:effectExtent l="0" t="0" r="0" b="0"/>
            <wp:docPr id="20" name="Picture 20"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303150A7" w14:textId="627FB748" w:rsidR="00E7226E" w:rsidRPr="00D95095" w:rsidRDefault="00E7226E" w:rsidP="00E7226E">
      <w:pPr>
        <w:rPr>
          <w:sz w:val="22"/>
          <w:szCs w:val="22"/>
        </w:rPr>
      </w:pPr>
      <w:r>
        <w:rPr>
          <w:sz w:val="22"/>
          <w:szCs w:val="22"/>
        </w:rPr>
        <w:t>N</w:t>
      </w:r>
      <w:r w:rsidRPr="00D95095">
        <w:rPr>
          <w:sz w:val="22"/>
          <w:szCs w:val="22"/>
        </w:rPr>
        <w:t>ame:</w:t>
      </w:r>
      <w:r w:rsidRPr="00D95095">
        <w:rPr>
          <w:noProof/>
          <w:sz w:val="22"/>
          <w:szCs w:val="22"/>
        </w:rPr>
        <w:drawing>
          <wp:inline distT="0" distB="0" distL="0" distR="0" wp14:anchorId="437C5297" wp14:editId="5A93EA0C">
            <wp:extent cx="2352675" cy="200025"/>
            <wp:effectExtent l="0" t="0" r="9525" b="9525"/>
            <wp:docPr id="21" name="Picture 2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p>
    <w:p w14:paraId="6EEFD12F" w14:textId="77777777" w:rsidR="00E7226E" w:rsidRPr="0001593D" w:rsidRDefault="00E7226E" w:rsidP="00E7226E">
      <w:pPr>
        <w:pStyle w:val="ListParagraph"/>
        <w:ind w:left="0"/>
        <w:rPr>
          <w:b/>
          <w:bCs/>
          <w:sz w:val="20"/>
          <w:szCs w:val="22"/>
          <w:u w:val="single"/>
        </w:rPr>
      </w:pPr>
    </w:p>
    <w:p w14:paraId="0138F2F6" w14:textId="77777777" w:rsidR="00E7226E" w:rsidRPr="00D95095" w:rsidRDefault="00E7226E" w:rsidP="00E7226E">
      <w:pPr>
        <w:pStyle w:val="ListParagraph"/>
        <w:ind w:left="0"/>
        <w:rPr>
          <w:bCs/>
          <w:sz w:val="22"/>
          <w:szCs w:val="22"/>
        </w:rPr>
      </w:pPr>
      <w:r w:rsidRPr="00D95095">
        <w:rPr>
          <w:b/>
          <w:bCs/>
          <w:sz w:val="22"/>
          <w:szCs w:val="22"/>
          <w:u w:val="single"/>
        </w:rPr>
        <w:t xml:space="preserve">Chair </w:t>
      </w:r>
      <w:r w:rsidRPr="00D95095">
        <w:rPr>
          <w:bCs/>
          <w:sz w:val="22"/>
          <w:szCs w:val="22"/>
          <w:u w:val="single"/>
        </w:rPr>
        <w:t>of the proposing unit/affirming approval by its instructor or appropriate faculty committee</w:t>
      </w:r>
      <w:r w:rsidRPr="00D95095">
        <w:rPr>
          <w:bCs/>
          <w:sz w:val="22"/>
          <w:szCs w:val="22"/>
        </w:rPr>
        <w:t>:</w:t>
      </w:r>
    </w:p>
    <w:p w14:paraId="00CD76A7" w14:textId="58A71E3F"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2CD1C369" wp14:editId="7786C139">
            <wp:extent cx="2114550" cy="247650"/>
            <wp:effectExtent l="0" t="0" r="0" b="0"/>
            <wp:docPr id="22" name="Picture 2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r w:rsidRPr="00D95095">
        <w:rPr>
          <w:sz w:val="22"/>
          <w:szCs w:val="22"/>
        </w:rPr>
        <w:t xml:space="preserve"> </w:t>
      </w:r>
    </w:p>
    <w:p w14:paraId="654D8962"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38934850" wp14:editId="07AF9302">
            <wp:extent cx="1625600" cy="228600"/>
            <wp:effectExtent l="0" t="0" r="0" b="0"/>
            <wp:docPr id="23" name="Picture 2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715DAEA8" w14:textId="77777777" w:rsidR="00ED2E02" w:rsidRDefault="00E7226E" w:rsidP="00E7226E">
      <w:pPr>
        <w:rPr>
          <w:sz w:val="22"/>
          <w:szCs w:val="22"/>
        </w:rPr>
      </w:pPr>
      <w:r>
        <w:rPr>
          <w:sz w:val="22"/>
          <w:szCs w:val="22"/>
        </w:rPr>
        <w:t>Name</w:t>
      </w:r>
      <w:r w:rsidRPr="00D95095">
        <w:rPr>
          <w:sz w:val="22"/>
          <w:szCs w:val="22"/>
        </w:rPr>
        <w:t>:</w:t>
      </w:r>
      <w:r w:rsidRPr="00D95095">
        <w:rPr>
          <w:noProof/>
          <w:sz w:val="22"/>
          <w:szCs w:val="22"/>
        </w:rPr>
        <w:drawing>
          <wp:inline distT="0" distB="0" distL="0" distR="0" wp14:anchorId="0154C626" wp14:editId="75A76B65">
            <wp:extent cx="2343150" cy="257175"/>
            <wp:effectExtent l="0" t="0" r="0" b="9525"/>
            <wp:docPr id="24" name="Picture 24"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241ADA3C" w14:textId="3B13602F" w:rsidR="00E7226E" w:rsidRPr="0001593D" w:rsidRDefault="00E7226E" w:rsidP="00E7226E">
      <w:pPr>
        <w:rPr>
          <w:sz w:val="20"/>
          <w:szCs w:val="22"/>
        </w:rPr>
      </w:pPr>
      <w:r w:rsidRPr="00D95095">
        <w:rPr>
          <w:sz w:val="22"/>
          <w:szCs w:val="22"/>
        </w:rPr>
        <w:t xml:space="preserve"> </w:t>
      </w:r>
    </w:p>
    <w:p w14:paraId="3532FBDA" w14:textId="77777777" w:rsidR="00E7226E" w:rsidRPr="00D95095" w:rsidRDefault="00E7226E" w:rsidP="00E7226E">
      <w:pPr>
        <w:rPr>
          <w:bCs/>
          <w:sz w:val="22"/>
          <w:szCs w:val="22"/>
        </w:rPr>
      </w:pPr>
      <w:r w:rsidRPr="00D95095">
        <w:rPr>
          <w:b/>
          <w:bCs/>
          <w:sz w:val="22"/>
          <w:szCs w:val="22"/>
          <w:u w:val="single"/>
        </w:rPr>
        <w:t>Dean (Associate Dean)</w:t>
      </w:r>
      <w:r w:rsidRPr="00D95095">
        <w:rPr>
          <w:bCs/>
          <w:sz w:val="22"/>
          <w:szCs w:val="22"/>
          <w:u w:val="single"/>
        </w:rPr>
        <w:t xml:space="preserve"> of College or School, affirming support of the proposal</w:t>
      </w:r>
      <w:r w:rsidRPr="00D95095">
        <w:rPr>
          <w:bCs/>
          <w:sz w:val="22"/>
          <w:szCs w:val="22"/>
        </w:rPr>
        <w:t>:</w:t>
      </w:r>
    </w:p>
    <w:p w14:paraId="7FF49BAE" w14:textId="77777777"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0600942A" wp14:editId="32D00052">
            <wp:extent cx="2124075" cy="200025"/>
            <wp:effectExtent l="0" t="0" r="9525" b="9525"/>
            <wp:docPr id="25" name="Picture 25"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660558F8"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50A85CFC" wp14:editId="70A922BA">
            <wp:extent cx="1625600" cy="228600"/>
            <wp:effectExtent l="0" t="0" r="0" b="0"/>
            <wp:docPr id="26" name="Picture 26"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76331E8C" w14:textId="73BFBCB4" w:rsidR="00E7226E" w:rsidRPr="00D04B66" w:rsidRDefault="00E7226E" w:rsidP="00E7226E">
      <w:pPr>
        <w:rPr>
          <w:sz w:val="22"/>
          <w:szCs w:val="22"/>
          <w:u w:val="single"/>
        </w:rPr>
        <w:sectPr w:rsidR="00E7226E" w:rsidRPr="00D04B66" w:rsidSect="00D04B66">
          <w:type w:val="continuous"/>
          <w:pgSz w:w="12240" w:h="15840"/>
          <w:pgMar w:top="1066" w:right="1440" w:bottom="1440" w:left="1440" w:header="288" w:footer="720" w:gutter="0"/>
          <w:cols w:num="2" w:space="720"/>
          <w:docGrid w:linePitch="360"/>
        </w:sectPr>
      </w:pPr>
      <w:r>
        <w:rPr>
          <w:sz w:val="22"/>
          <w:szCs w:val="22"/>
        </w:rPr>
        <w:t>Name</w:t>
      </w:r>
      <w:r w:rsidRPr="00D95095">
        <w:rPr>
          <w:sz w:val="22"/>
          <w:szCs w:val="22"/>
        </w:rPr>
        <w:t>:</w:t>
      </w:r>
      <w:r w:rsidRPr="00D95095">
        <w:rPr>
          <w:noProof/>
          <w:sz w:val="22"/>
          <w:szCs w:val="22"/>
        </w:rPr>
        <w:drawing>
          <wp:inline distT="0" distB="0" distL="0" distR="0" wp14:anchorId="43959063" wp14:editId="23A62AB7">
            <wp:extent cx="2324100" cy="238125"/>
            <wp:effectExtent l="0" t="0" r="0" b="9525"/>
            <wp:docPr id="27" name="Picture 27"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p>
    <w:p w14:paraId="03460BA3" w14:textId="76D3BD66" w:rsidR="00E7226E" w:rsidRPr="00D95095" w:rsidRDefault="00E7226E" w:rsidP="00E7226E">
      <w:pPr>
        <w:rPr>
          <w:color w:val="000000" w:themeColor="text1"/>
          <w:sz w:val="22"/>
          <w:szCs w:val="22"/>
        </w:rPr>
        <w:sectPr w:rsidR="00E7226E" w:rsidRPr="00D95095" w:rsidSect="007A6EB4">
          <w:type w:val="continuous"/>
          <w:pgSz w:w="12240" w:h="15840"/>
          <w:pgMar w:top="1066" w:right="1440" w:bottom="1440" w:left="1440" w:header="720" w:footer="720" w:gutter="0"/>
          <w:cols w:num="2" w:space="720"/>
          <w:docGrid w:linePitch="360"/>
        </w:sectPr>
      </w:pPr>
      <w:r w:rsidRPr="00D95095">
        <w:rPr>
          <w:b/>
          <w:bCs/>
          <w:noProof/>
          <w:sz w:val="22"/>
          <w:szCs w:val="22"/>
          <w:u w:val="single"/>
        </w:rPr>
        <mc:AlternateContent>
          <mc:Choice Requires="wps">
            <w:drawing>
              <wp:inline distT="0" distB="0" distL="0" distR="0" wp14:anchorId="25D83403" wp14:editId="00C5D333">
                <wp:extent cx="6229350" cy="2396066"/>
                <wp:effectExtent l="0" t="0" r="19050" b="23495"/>
                <wp:docPr id="42" name="Text Box 42"/>
                <wp:cNvGraphicFramePr/>
                <a:graphic xmlns:a="http://schemas.openxmlformats.org/drawingml/2006/main">
                  <a:graphicData uri="http://schemas.microsoft.com/office/word/2010/wordprocessingShape">
                    <wps:wsp>
                      <wps:cNvSpPr txBox="1"/>
                      <wps:spPr>
                        <a:xfrm>
                          <a:off x="0" y="0"/>
                          <a:ext cx="6229350" cy="2396066"/>
                        </a:xfrm>
                        <a:prstGeom prst="rect">
                          <a:avLst/>
                        </a:prstGeom>
                        <a:solidFill>
                          <a:schemeClr val="accent1">
                            <a:lumMod val="60000"/>
                            <a:lumOff val="40000"/>
                          </a:schemeClr>
                        </a:solidFill>
                        <a:ln w="6350">
                          <a:solidFill>
                            <a:prstClr val="black"/>
                          </a:solidFill>
                        </a:ln>
                      </wps:spPr>
                      <wps:txbx>
                        <w:txbxContent>
                          <w:p w14:paraId="7E089CF2" w14:textId="77777777" w:rsidR="00E7226E" w:rsidRPr="007F6A71" w:rsidRDefault="00E7226E" w:rsidP="00E7226E">
                            <w:pPr>
                              <w:rPr>
                                <w:b/>
                                <w:bCs/>
                                <w:sz w:val="22"/>
                                <w:szCs w:val="22"/>
                                <w:u w:val="single"/>
                              </w:rPr>
                            </w:pPr>
                            <w:r>
                              <w:rPr>
                                <w:b/>
                                <w:bCs/>
                                <w:sz w:val="22"/>
                                <w:szCs w:val="22"/>
                                <w:u w:val="single"/>
                              </w:rPr>
                              <w:t xml:space="preserve">To be completed by </w:t>
                            </w:r>
                            <w:r w:rsidRPr="007F6A71">
                              <w:rPr>
                                <w:b/>
                                <w:bCs/>
                                <w:sz w:val="22"/>
                                <w:szCs w:val="22"/>
                                <w:u w:val="single"/>
                              </w:rPr>
                              <w:t xml:space="preserve">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p>
                          <w:p w14:paraId="2B79DD3C" w14:textId="77777777" w:rsidR="00E7226E" w:rsidRPr="0001593D" w:rsidRDefault="00E7226E" w:rsidP="00E7226E">
                            <w:pPr>
                              <w:rPr>
                                <w:b/>
                                <w:bCs/>
                                <w:sz w:val="20"/>
                                <w:szCs w:val="22"/>
                                <w:u w:val="single"/>
                              </w:rPr>
                            </w:pPr>
                          </w:p>
                          <w:p w14:paraId="7D29213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as is </w:t>
                            </w:r>
                          </w:p>
                          <w:p w14:paraId="2DECDDD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with modification </w:t>
                            </w:r>
                          </w:p>
                          <w:p w14:paraId="7307D320"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Table for Discussion or Modification </w:t>
                            </w:r>
                          </w:p>
                          <w:p w14:paraId="0E3B7827"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Deny </w:t>
                            </w:r>
                          </w:p>
                          <w:p w14:paraId="1A7D17A8" w14:textId="77777777" w:rsidR="00E7226E" w:rsidRPr="0001593D" w:rsidRDefault="00E7226E" w:rsidP="00E7226E">
                            <w:pPr>
                              <w:rPr>
                                <w:b/>
                                <w:bCs/>
                                <w:sz w:val="20"/>
                                <w:szCs w:val="22"/>
                                <w:u w:val="single"/>
                              </w:rPr>
                            </w:pPr>
                          </w:p>
                          <w:p w14:paraId="4C01574E" w14:textId="77777777" w:rsidR="00E7226E" w:rsidRPr="007F6A71" w:rsidRDefault="00E7226E" w:rsidP="00E7226E">
                            <w:pPr>
                              <w:rPr>
                                <w:bCs/>
                                <w:sz w:val="22"/>
                                <w:szCs w:val="22"/>
                              </w:rPr>
                            </w:pPr>
                            <w:r w:rsidRPr="007F6A71">
                              <w:rPr>
                                <w:b/>
                                <w:bCs/>
                                <w:sz w:val="22"/>
                                <w:szCs w:val="22"/>
                                <w:u w:val="single"/>
                              </w:rPr>
                              <w:t xml:space="preserve">Chair, 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r w:rsidRPr="00E775C7">
                              <w:rPr>
                                <w:bCs/>
                                <w:sz w:val="22"/>
                                <w:szCs w:val="22"/>
                                <w:u w:val="single"/>
                              </w:rPr>
                              <w:t>(</w:t>
                            </w:r>
                            <w:r w:rsidRPr="007F6A71">
                              <w:rPr>
                                <w:bCs/>
                                <w:sz w:val="22"/>
                                <w:szCs w:val="22"/>
                                <w:u w:val="single"/>
                              </w:rPr>
                              <w:t>affirming approval by the Committee</w:t>
                            </w:r>
                            <w:r>
                              <w:rPr>
                                <w:bCs/>
                                <w:sz w:val="22"/>
                                <w:szCs w:val="22"/>
                                <w:u w:val="single"/>
                              </w:rPr>
                              <w:t>)</w:t>
                            </w:r>
                            <w:r w:rsidRPr="007F6A71">
                              <w:rPr>
                                <w:bCs/>
                                <w:sz w:val="22"/>
                                <w:szCs w:val="22"/>
                              </w:rPr>
                              <w:t>:</w:t>
                            </w:r>
                          </w:p>
                          <w:p w14:paraId="6A7F2BEB" w14:textId="77777777" w:rsidR="00E7226E" w:rsidRPr="0001593D" w:rsidRDefault="00E7226E" w:rsidP="00E7226E">
                            <w:pPr>
                              <w:rPr>
                                <w:sz w:val="20"/>
                                <w:szCs w:val="22"/>
                              </w:rPr>
                            </w:pPr>
                          </w:p>
                          <w:p w14:paraId="2BC4B562" w14:textId="77777777" w:rsidR="00E7226E" w:rsidRPr="007F6A71" w:rsidRDefault="00E7226E" w:rsidP="00E7226E">
                            <w:pPr>
                              <w:rPr>
                                <w:sz w:val="22"/>
                                <w:szCs w:val="22"/>
                              </w:rPr>
                            </w:pPr>
                            <w:r w:rsidRPr="007F6A71">
                              <w:rPr>
                                <w:sz w:val="22"/>
                                <w:szCs w:val="22"/>
                              </w:rPr>
                              <w:t>Signature:</w:t>
                            </w:r>
                            <w:r w:rsidRPr="007F6A71">
                              <w:rPr>
                                <w:noProof/>
                                <w:sz w:val="22"/>
                                <w:szCs w:val="22"/>
                              </w:rPr>
                              <w:drawing>
                                <wp:inline distT="0" distB="0" distL="0" distR="0" wp14:anchorId="79E7F13E" wp14:editId="38C16CBF">
                                  <wp:extent cx="5283200" cy="228600"/>
                                  <wp:effectExtent l="0" t="0" r="0" b="0"/>
                                  <wp:docPr id="4" name="Picture 4"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346F305E" w14:textId="77777777" w:rsidR="00E7226E" w:rsidRPr="007F6A71" w:rsidRDefault="00E7226E" w:rsidP="00E7226E">
                            <w:pPr>
                              <w:rPr>
                                <w:sz w:val="22"/>
                                <w:szCs w:val="22"/>
                              </w:rPr>
                            </w:pPr>
                            <w:r w:rsidRPr="007F6A71">
                              <w:rPr>
                                <w:sz w:val="22"/>
                                <w:szCs w:val="22"/>
                              </w:rPr>
                              <w:t>Date:</w:t>
                            </w:r>
                            <w:r w:rsidRPr="007F6A71">
                              <w:rPr>
                                <w:noProof/>
                                <w:sz w:val="22"/>
                                <w:szCs w:val="22"/>
                              </w:rPr>
                              <w:drawing>
                                <wp:inline distT="0" distB="0" distL="0" distR="0" wp14:anchorId="01D9FF2F" wp14:editId="6F75B30D">
                                  <wp:extent cx="1625600" cy="228600"/>
                                  <wp:effectExtent l="0" t="0" r="0" b="0"/>
                                  <wp:docPr id="5" name="Picture 5"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289F4FBB" w14:textId="644A8093" w:rsidR="00E7226E" w:rsidRDefault="00E7226E" w:rsidP="00E7226E">
                            <w:r>
                              <w:rPr>
                                <w:sz w:val="22"/>
                                <w:szCs w:val="22"/>
                              </w:rPr>
                              <w:t>N</w:t>
                            </w:r>
                            <w:r w:rsidRPr="007F6A71">
                              <w:rPr>
                                <w:sz w:val="22"/>
                                <w:szCs w:val="22"/>
                              </w:rPr>
                              <w:t>ame:</w:t>
                            </w:r>
                            <w:r w:rsidRPr="007F6A71">
                              <w:rPr>
                                <w:noProof/>
                                <w:sz w:val="22"/>
                                <w:szCs w:val="22"/>
                              </w:rPr>
                              <w:drawing>
                                <wp:inline distT="0" distB="0" distL="0" distR="0" wp14:anchorId="05AC12E0" wp14:editId="1162E77F">
                                  <wp:extent cx="4457700" cy="228600"/>
                                  <wp:effectExtent l="0" t="0" r="0" b="0"/>
                                  <wp:docPr id="6" name="Picture 6"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D83403" id="_x0000_t202" coordsize="21600,21600" o:spt="202" path="m,l,21600r21600,l21600,xe">
                <v:stroke joinstyle="miter"/>
                <v:path gradientshapeok="t" o:connecttype="rect"/>
              </v:shapetype>
              <v:shape id="Text Box 42" o:spid="_x0000_s1026" type="#_x0000_t202" style="width:490.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" fillcolor="#8eaadb [1940]" strokeweight=".5pt">
                <v:textbox>
                  <w:txbxContent>
                    <w:p w14:paraId="7E089CF2" w14:textId="77777777" w:rsidR="00E7226E" w:rsidRPr="007F6A71" w:rsidRDefault="00E7226E" w:rsidP="00E7226E">
                      <w:pPr>
                        <w:rPr>
                          <w:b/>
                          <w:bCs/>
                          <w:sz w:val="22"/>
                          <w:szCs w:val="22"/>
                          <w:u w:val="single"/>
                        </w:rPr>
                      </w:pPr>
                      <w:r>
                        <w:rPr>
                          <w:b/>
                          <w:bCs/>
                          <w:sz w:val="22"/>
                          <w:szCs w:val="22"/>
                          <w:u w:val="single"/>
                        </w:rPr>
                        <w:t xml:space="preserve">To be completed by </w:t>
                      </w:r>
                      <w:r w:rsidRPr="007F6A71">
                        <w:rPr>
                          <w:b/>
                          <w:bCs/>
                          <w:sz w:val="22"/>
                          <w:szCs w:val="22"/>
                          <w:u w:val="single"/>
                        </w:rPr>
                        <w:t xml:space="preserve">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p>
                    <w:p w14:paraId="2B79DD3C" w14:textId="77777777" w:rsidR="00E7226E" w:rsidRPr="0001593D" w:rsidRDefault="00E7226E" w:rsidP="00E7226E">
                      <w:pPr>
                        <w:rPr>
                          <w:b/>
                          <w:bCs/>
                          <w:sz w:val="20"/>
                          <w:szCs w:val="22"/>
                          <w:u w:val="single"/>
                        </w:rPr>
                      </w:pPr>
                    </w:p>
                    <w:p w14:paraId="7D29213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as is </w:t>
                      </w:r>
                    </w:p>
                    <w:p w14:paraId="2DECDDD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with modification </w:t>
                      </w:r>
                    </w:p>
                    <w:p w14:paraId="7307D320"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Table for Discussion or Modification </w:t>
                      </w:r>
                    </w:p>
                    <w:p w14:paraId="0E3B7827"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Deny </w:t>
                      </w:r>
                    </w:p>
                    <w:p w14:paraId="1A7D17A8" w14:textId="77777777" w:rsidR="00E7226E" w:rsidRPr="0001593D" w:rsidRDefault="00E7226E" w:rsidP="00E7226E">
                      <w:pPr>
                        <w:rPr>
                          <w:b/>
                          <w:bCs/>
                          <w:sz w:val="20"/>
                          <w:szCs w:val="22"/>
                          <w:u w:val="single"/>
                        </w:rPr>
                      </w:pPr>
                    </w:p>
                    <w:p w14:paraId="4C01574E" w14:textId="77777777" w:rsidR="00E7226E" w:rsidRPr="007F6A71" w:rsidRDefault="00E7226E" w:rsidP="00E7226E">
                      <w:pPr>
                        <w:rPr>
                          <w:bCs/>
                          <w:sz w:val="22"/>
                          <w:szCs w:val="22"/>
                        </w:rPr>
                      </w:pPr>
                      <w:r w:rsidRPr="007F6A71">
                        <w:rPr>
                          <w:b/>
                          <w:bCs/>
                          <w:sz w:val="22"/>
                          <w:szCs w:val="22"/>
                          <w:u w:val="single"/>
                        </w:rPr>
                        <w:t xml:space="preserve">Chair, 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r w:rsidRPr="00E775C7">
                        <w:rPr>
                          <w:bCs/>
                          <w:sz w:val="22"/>
                          <w:szCs w:val="22"/>
                          <w:u w:val="single"/>
                        </w:rPr>
                        <w:t>(</w:t>
                      </w:r>
                      <w:r w:rsidRPr="007F6A71">
                        <w:rPr>
                          <w:bCs/>
                          <w:sz w:val="22"/>
                          <w:szCs w:val="22"/>
                          <w:u w:val="single"/>
                        </w:rPr>
                        <w:t>affirming approval by the Committee</w:t>
                      </w:r>
                      <w:r>
                        <w:rPr>
                          <w:bCs/>
                          <w:sz w:val="22"/>
                          <w:szCs w:val="22"/>
                          <w:u w:val="single"/>
                        </w:rPr>
                        <w:t>)</w:t>
                      </w:r>
                      <w:r w:rsidRPr="007F6A71">
                        <w:rPr>
                          <w:bCs/>
                          <w:sz w:val="22"/>
                          <w:szCs w:val="22"/>
                        </w:rPr>
                        <w:t>:</w:t>
                      </w:r>
                    </w:p>
                    <w:p w14:paraId="6A7F2BEB" w14:textId="77777777" w:rsidR="00E7226E" w:rsidRPr="0001593D" w:rsidRDefault="00E7226E" w:rsidP="00E7226E">
                      <w:pPr>
                        <w:rPr>
                          <w:sz w:val="20"/>
                          <w:szCs w:val="22"/>
                        </w:rPr>
                      </w:pPr>
                    </w:p>
                    <w:p w14:paraId="2BC4B562" w14:textId="77777777" w:rsidR="00E7226E" w:rsidRPr="007F6A71" w:rsidRDefault="00E7226E" w:rsidP="00E7226E">
                      <w:pPr>
                        <w:rPr>
                          <w:sz w:val="22"/>
                          <w:szCs w:val="22"/>
                        </w:rPr>
                      </w:pPr>
                      <w:r w:rsidRPr="007F6A71">
                        <w:rPr>
                          <w:sz w:val="22"/>
                          <w:szCs w:val="22"/>
                        </w:rPr>
                        <w:t>Signature:</w:t>
                      </w:r>
                      <w:r w:rsidRPr="007F6A71">
                        <w:rPr>
                          <w:noProof/>
                          <w:sz w:val="22"/>
                          <w:szCs w:val="22"/>
                        </w:rPr>
                        <w:drawing>
                          <wp:inline distT="0" distB="0" distL="0" distR="0" wp14:anchorId="79E7F13E" wp14:editId="38C16CBF">
                            <wp:extent cx="5283200" cy="228600"/>
                            <wp:effectExtent l="0" t="0" r="0" b="0"/>
                            <wp:docPr id="4" name="Picture 4"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346F305E" w14:textId="77777777" w:rsidR="00E7226E" w:rsidRPr="007F6A71" w:rsidRDefault="00E7226E" w:rsidP="00E7226E">
                      <w:pPr>
                        <w:rPr>
                          <w:sz w:val="22"/>
                          <w:szCs w:val="22"/>
                        </w:rPr>
                      </w:pPr>
                      <w:r w:rsidRPr="007F6A71">
                        <w:rPr>
                          <w:sz w:val="22"/>
                          <w:szCs w:val="22"/>
                        </w:rPr>
                        <w:t>Date:</w:t>
                      </w:r>
                      <w:r w:rsidRPr="007F6A71">
                        <w:rPr>
                          <w:noProof/>
                          <w:sz w:val="22"/>
                          <w:szCs w:val="22"/>
                        </w:rPr>
                        <w:drawing>
                          <wp:inline distT="0" distB="0" distL="0" distR="0" wp14:anchorId="01D9FF2F" wp14:editId="6F75B30D">
                            <wp:extent cx="1625600" cy="228600"/>
                            <wp:effectExtent l="0" t="0" r="0" b="0"/>
                            <wp:docPr id="5" name="Picture 5"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289F4FBB" w14:textId="644A8093" w:rsidR="00E7226E" w:rsidRDefault="00E7226E" w:rsidP="00E7226E">
                      <w:r>
                        <w:rPr>
                          <w:sz w:val="22"/>
                          <w:szCs w:val="22"/>
                        </w:rPr>
                        <w:t>N</w:t>
                      </w:r>
                      <w:r w:rsidRPr="007F6A71">
                        <w:rPr>
                          <w:sz w:val="22"/>
                          <w:szCs w:val="22"/>
                        </w:rPr>
                        <w:t>ame:</w:t>
                      </w:r>
                      <w:r w:rsidRPr="007F6A71">
                        <w:rPr>
                          <w:noProof/>
                          <w:sz w:val="22"/>
                          <w:szCs w:val="22"/>
                        </w:rPr>
                        <w:drawing>
                          <wp:inline distT="0" distB="0" distL="0" distR="0" wp14:anchorId="05AC12E0" wp14:editId="1162E77F">
                            <wp:extent cx="4457700" cy="228600"/>
                            <wp:effectExtent l="0" t="0" r="0" b="0"/>
                            <wp:docPr id="6" name="Picture 6"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txbxContent>
                </v:textbox>
                <w10:anchorlock/>
              </v:shape>
            </w:pict>
          </mc:Fallback>
        </mc:AlternateContent>
      </w:r>
    </w:p>
    <w:p w14:paraId="233934D0" w14:textId="4043E9A6" w:rsidR="00977BEA" w:rsidRPr="0001593D" w:rsidRDefault="00977BEA" w:rsidP="00E7226E">
      <w:pPr>
        <w:rPr>
          <w:b/>
          <w:bCs/>
          <w:sz w:val="20"/>
          <w:szCs w:val="22"/>
          <w:u w:val="single"/>
        </w:rPr>
      </w:pPr>
    </w:p>
    <w:p w14:paraId="73AEEE8C" w14:textId="580A6E60" w:rsidR="00E7226E" w:rsidRPr="00D95095" w:rsidRDefault="00E7226E" w:rsidP="0001593D">
      <w:pPr>
        <w:ind w:firstLine="720"/>
        <w:rPr>
          <w:bCs/>
          <w:sz w:val="22"/>
          <w:szCs w:val="22"/>
        </w:rPr>
      </w:pPr>
      <w:r w:rsidRPr="00D95095">
        <w:rPr>
          <w:b/>
          <w:bCs/>
          <w:sz w:val="22"/>
          <w:szCs w:val="22"/>
          <w:u w:val="single"/>
        </w:rPr>
        <w:t>Academic Affairs Approval</w:t>
      </w:r>
    </w:p>
    <w:p w14:paraId="19026407" w14:textId="77777777" w:rsidR="00E7226E" w:rsidRPr="00D95095" w:rsidRDefault="00E7226E" w:rsidP="0001593D">
      <w:pPr>
        <w:ind w:firstLine="720"/>
        <w:rPr>
          <w:sz w:val="22"/>
          <w:szCs w:val="22"/>
        </w:rPr>
      </w:pPr>
      <w:r w:rsidRPr="00D95095">
        <w:rPr>
          <w:sz w:val="22"/>
          <w:szCs w:val="22"/>
        </w:rPr>
        <w:t>Signature:</w:t>
      </w:r>
      <w:r w:rsidRPr="00D95095">
        <w:rPr>
          <w:noProof/>
          <w:sz w:val="22"/>
          <w:szCs w:val="22"/>
        </w:rPr>
        <w:drawing>
          <wp:inline distT="0" distB="0" distL="0" distR="0" wp14:anchorId="16B1C586" wp14:editId="1A57AAA9">
            <wp:extent cx="5283200" cy="228600"/>
            <wp:effectExtent l="0" t="0" r="0" b="0"/>
            <wp:docPr id="39" name="Picture 39"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0BC41B11" w14:textId="01FA8131" w:rsidR="00E7226E" w:rsidRDefault="00E7226E" w:rsidP="0001593D">
      <w:pPr>
        <w:ind w:firstLine="720"/>
        <w:rPr>
          <w:sz w:val="22"/>
          <w:szCs w:val="22"/>
        </w:rPr>
      </w:pPr>
      <w:r w:rsidRPr="00D95095">
        <w:rPr>
          <w:sz w:val="22"/>
          <w:szCs w:val="22"/>
        </w:rPr>
        <w:t>Date:</w:t>
      </w:r>
      <w:r w:rsidR="00ED2E02">
        <w:rPr>
          <w:sz w:val="22"/>
          <w:szCs w:val="22"/>
        </w:rPr>
        <w:tab/>
      </w:r>
      <w:r w:rsidRPr="00D95095">
        <w:rPr>
          <w:noProof/>
          <w:sz w:val="22"/>
          <w:szCs w:val="22"/>
        </w:rPr>
        <w:drawing>
          <wp:inline distT="0" distB="0" distL="0" distR="0" wp14:anchorId="5F739C68" wp14:editId="303ADFBA">
            <wp:extent cx="1625600" cy="228600"/>
            <wp:effectExtent l="0" t="0" r="0" b="0"/>
            <wp:docPr id="40" name="Picture 40"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187A9AE7" w14:textId="7485C297" w:rsidR="00C87F7D" w:rsidRPr="00977BEA" w:rsidRDefault="00977BEA" w:rsidP="0001593D">
      <w:pPr>
        <w:ind w:firstLine="720"/>
        <w:rPr>
          <w:sz w:val="22"/>
          <w:szCs w:val="22"/>
        </w:rPr>
      </w:pPr>
      <w:r>
        <w:rPr>
          <w:sz w:val="22"/>
          <w:szCs w:val="22"/>
        </w:rPr>
        <w:t>N</w:t>
      </w:r>
      <w:r w:rsidRPr="00D95095">
        <w:rPr>
          <w:sz w:val="22"/>
          <w:szCs w:val="22"/>
        </w:rPr>
        <w:t>ame:</w:t>
      </w:r>
      <w:r w:rsidR="00ED2E02">
        <w:rPr>
          <w:sz w:val="22"/>
          <w:szCs w:val="22"/>
        </w:rPr>
        <w:tab/>
      </w:r>
      <w:r w:rsidRPr="005E5E0F">
        <w:rPr>
          <w:noProof/>
        </w:rPr>
        <w:drawing>
          <wp:inline distT="0" distB="0" distL="0" distR="0" wp14:anchorId="15E33E9E" wp14:editId="5DA59D3D">
            <wp:extent cx="4457700" cy="228600"/>
            <wp:effectExtent l="0" t="0" r="0" b="0"/>
            <wp:docPr id="41" name="Picture 4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0A3590A5" w14:textId="15FAC880" w:rsidR="008A3BB3" w:rsidRPr="00977BEA" w:rsidRDefault="00FB71A3" w:rsidP="00757E66">
      <w:pPr>
        <w:pStyle w:val="Heading2"/>
        <w:tabs>
          <w:tab w:val="right" w:pos="2700"/>
          <w:tab w:val="center" w:pos="5400"/>
          <w:tab w:val="left" w:pos="10710"/>
        </w:tabs>
        <w:jc w:val="left"/>
      </w:pPr>
      <w:r>
        <w:rPr>
          <w:highlight w:val="lightGray"/>
        </w:rPr>
        <w:lastRenderedPageBreak/>
        <w:tab/>
      </w:r>
      <w:r>
        <w:rPr>
          <w:highlight w:val="lightGray"/>
        </w:rPr>
        <w:tab/>
      </w:r>
      <w:r w:rsidR="008A3BB3" w:rsidRPr="00757E66">
        <w:rPr>
          <w:highlight w:val="lightGray"/>
        </w:rPr>
        <w:t>Preamble</w:t>
      </w:r>
      <w:r w:rsidR="00757E66">
        <w:rPr>
          <w:highlight w:val="lightGray"/>
        </w:rPr>
        <w:tab/>
      </w:r>
    </w:p>
    <w:p w14:paraId="3C6F1B1B" w14:textId="5252029D" w:rsidR="008A3BB3" w:rsidRPr="00EA7114" w:rsidRDefault="008A3BB3" w:rsidP="008A3BB3">
      <w:pPr>
        <w:rPr>
          <w:bCs/>
        </w:rPr>
      </w:pPr>
    </w:p>
    <w:p w14:paraId="0168CEB1" w14:textId="77CD156B" w:rsidR="008A3BB3" w:rsidRPr="00EA7114" w:rsidRDefault="002F6175" w:rsidP="002F6175">
      <w:pPr>
        <w:rPr>
          <w:bCs/>
        </w:rPr>
      </w:pPr>
      <w:r w:rsidRPr="00EA7114">
        <w:rPr>
          <w:bCs/>
          <w:color w:val="000000"/>
        </w:rPr>
        <w:t>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campus.</w:t>
      </w:r>
      <w:r w:rsidR="008A3BB3" w:rsidRPr="00EA7114">
        <w:rPr>
          <w:bCs/>
          <w:color w:val="000000"/>
        </w:rPr>
        <w:t xml:space="preserve">(For a full history of how LSU decided to adopt an IL approach, see </w:t>
      </w:r>
      <w:hyperlink r:id="rId19" w:history="1">
        <w:r w:rsidR="00ED2E02">
          <w:rPr>
            <w:rStyle w:val="Hyperlink"/>
            <w:bCs/>
            <w:color w:val="1155CC"/>
          </w:rPr>
          <w:t>the ILC Histor</w:t>
        </w:r>
        <w:r w:rsidR="00ED2E02">
          <w:rPr>
            <w:rStyle w:val="Hyperlink"/>
            <w:bCs/>
            <w:color w:val="1155CC"/>
          </w:rPr>
          <w:t>y</w:t>
        </w:r>
        <w:r w:rsidR="00ED2E02">
          <w:rPr>
            <w:rStyle w:val="Hyperlink"/>
            <w:bCs/>
            <w:color w:val="1155CC"/>
          </w:rPr>
          <w:t xml:space="preserve"> website</w:t>
        </w:r>
      </w:hyperlink>
      <w:r w:rsidR="008A3BB3" w:rsidRPr="00EA7114">
        <w:rPr>
          <w:bCs/>
          <w:color w:val="000000"/>
        </w:rPr>
        <w:t>.</w:t>
      </w:r>
      <w:r w:rsidR="00ED2E02">
        <w:rPr>
          <w:bCs/>
          <w:color w:val="000000"/>
        </w:rPr>
        <w:t>)</w:t>
      </w:r>
    </w:p>
    <w:p w14:paraId="2CCE1C5E" w14:textId="77777777"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7D92B52D"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20"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w:t>
        </w:r>
        <w:r w:rsidRPr="00EA7114">
          <w:rPr>
            <w:rStyle w:val="Hyperlink"/>
            <w:bCs/>
            <w:color w:val="1155CC"/>
          </w:rPr>
          <w:t xml:space="preserve"> </w:t>
        </w:r>
        <w:r w:rsidRPr="00EA7114">
          <w:rPr>
            <w:rStyle w:val="Hyperlink"/>
            <w:bCs/>
            <w:color w:val="1155CC"/>
          </w:rPr>
          <w:t>all graduates</w:t>
        </w:r>
      </w:hyperlink>
      <w:r w:rsidR="003F14AB" w:rsidRPr="00EA7114">
        <w:rPr>
          <w:bCs/>
          <w:color w:val="000000"/>
        </w:rPr>
        <w:t xml:space="preserve">. There was also evidence that </w:t>
      </w:r>
      <w:hyperlink r:id="rId21" w:history="1">
        <w:r w:rsidR="003F14AB" w:rsidRPr="00EA7114">
          <w:rPr>
            <w:rStyle w:val="Hyperlink"/>
            <w:bCs/>
            <w:color w:val="1155CC"/>
          </w:rPr>
          <w:t>employers were dissatisfied with higher level thinking skills of</w:t>
        </w:r>
        <w:r w:rsidR="003F14AB" w:rsidRPr="00EA7114">
          <w:rPr>
            <w:rStyle w:val="Hyperlink"/>
            <w:bCs/>
            <w:color w:val="1155CC"/>
          </w:rPr>
          <w:t xml:space="preserve"> </w:t>
        </w:r>
        <w:r w:rsidR="003F14AB" w:rsidRPr="00EA7114">
          <w:rPr>
            <w:rStyle w:val="Hyperlink"/>
            <w:bCs/>
            <w:color w:val="1155CC"/>
          </w:rPr>
          <w:t>college graduates</w:t>
        </w:r>
      </w:hyperlink>
      <w:r w:rsidR="003F14AB" w:rsidRPr="00EA7114">
        <w:rPr>
          <w:bCs/>
          <w:color w:val="000000"/>
        </w:rPr>
        <w:t xml:space="preserve"> (see also </w:t>
      </w:r>
      <w:hyperlink r:id="rId22" w:history="1">
        <w:r w:rsidR="003F14AB" w:rsidRPr="00EA7114">
          <w:rPr>
            <w:rStyle w:val="Hyperlink"/>
            <w:bCs/>
            <w:color w:val="1155CC"/>
          </w:rPr>
          <w:t>this s</w:t>
        </w:r>
        <w:r w:rsidR="003F14AB" w:rsidRPr="00EA7114">
          <w:rPr>
            <w:rStyle w:val="Hyperlink"/>
            <w:bCs/>
            <w:color w:val="1155CC"/>
          </w:rPr>
          <w:t>t</w:t>
        </w:r>
        <w:r w:rsidR="003F14AB" w:rsidRPr="00EA7114">
          <w:rPr>
            <w:rStyle w:val="Hyperlink"/>
            <w:bCs/>
            <w:color w:val="1155CC"/>
          </w:rPr>
          <w:t>u</w:t>
        </w:r>
        <w:r w:rsidR="003F14AB" w:rsidRPr="00EA7114">
          <w:rPr>
            <w:rStyle w:val="Hyperlink"/>
            <w:bCs/>
            <w:color w:val="1155CC"/>
          </w:rPr>
          <w:t>d</w:t>
        </w:r>
        <w:r w:rsidR="003F14AB" w:rsidRPr="00EA7114">
          <w:rPr>
            <w:rStyle w:val="Hyperlink"/>
            <w:bCs/>
            <w:color w:val="1155CC"/>
          </w:rPr>
          <w:t>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47A503BF" w14:textId="7662C211" w:rsidR="00ED2E02" w:rsidRDefault="002F6175" w:rsidP="006B075D">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Pr="00EA7114">
        <w:rPr>
          <w:bCs/>
          <w:color w:val="000000"/>
        </w:rPr>
        <w:t>We invite you to</w:t>
      </w:r>
      <w:r w:rsidR="003F14AB" w:rsidRPr="00EA7114">
        <w:rPr>
          <w:bCs/>
          <w:color w:val="000000"/>
        </w:rPr>
        <w:t xml:space="preserve"> </w:t>
      </w:r>
      <w:hyperlink r:id="rId23" w:history="1">
        <w:r w:rsidR="003F14AB" w:rsidRPr="00EA7114">
          <w:rPr>
            <w:rStyle w:val="Hyperlink"/>
            <w:bCs/>
          </w:rPr>
          <w:t>com</w:t>
        </w:r>
        <w:r w:rsidR="003F14AB" w:rsidRPr="00EA7114">
          <w:rPr>
            <w:rStyle w:val="Hyperlink"/>
            <w:bCs/>
          </w:rPr>
          <w:t>m</w:t>
        </w:r>
        <w:r w:rsidR="003F14AB" w:rsidRPr="00EA7114">
          <w:rPr>
            <w:rStyle w:val="Hyperlink"/>
            <w:bCs/>
          </w:rPr>
          <w:t>u</w:t>
        </w:r>
        <w:r w:rsidR="003F14AB" w:rsidRPr="00EA7114">
          <w:rPr>
            <w:rStyle w:val="Hyperlink"/>
            <w:bCs/>
          </w:rPr>
          <w:t>n</w:t>
        </w:r>
        <w:r w:rsidR="003F14AB" w:rsidRPr="00EA7114">
          <w:rPr>
            <w:rStyle w:val="Hyperlink"/>
            <w:bCs/>
          </w:rPr>
          <w:t>i</w:t>
        </w:r>
        <w:r w:rsidR="003F14AB" w:rsidRPr="00EA7114">
          <w:rPr>
            <w:rStyle w:val="Hyperlink"/>
            <w:bCs/>
          </w:rPr>
          <w:t>c</w:t>
        </w:r>
        <w:r w:rsidR="003F14AB" w:rsidRPr="00EA7114">
          <w:rPr>
            <w:rStyle w:val="Hyperlink"/>
            <w:bCs/>
          </w:rPr>
          <w:t>a</w:t>
        </w:r>
        <w:r w:rsidR="003F14AB" w:rsidRPr="00EA7114">
          <w:rPr>
            <w:rStyle w:val="Hyperlink"/>
            <w:bCs/>
          </w:rPr>
          <w:t>te</w:t>
        </w:r>
      </w:hyperlink>
      <w:r w:rsidR="003F14AB" w:rsidRPr="00EA7114">
        <w:rPr>
          <w:bCs/>
          <w:color w:val="000000"/>
        </w:rPr>
        <w:t xml:space="preserve"> with the committee </w:t>
      </w:r>
      <w:r w:rsidRPr="00EA7114">
        <w:rPr>
          <w:bCs/>
          <w:color w:val="000000"/>
        </w:rPr>
        <w:t>so we might consider further refinement and development of a global IL approach for the undergraduate student learning experience at LSU.</w:t>
      </w:r>
    </w:p>
    <w:p w14:paraId="72B1C96E" w14:textId="77777777" w:rsidR="00ED2E02" w:rsidRDefault="00ED2E02">
      <w:pPr>
        <w:rPr>
          <w:bCs/>
          <w:color w:val="000000"/>
        </w:rPr>
      </w:pPr>
      <w:r>
        <w:rPr>
          <w:bCs/>
          <w:color w:val="000000"/>
        </w:rPr>
        <w:br w:type="page"/>
      </w:r>
    </w:p>
    <w:p w14:paraId="550789C4" w14:textId="2A3DE79B" w:rsidR="0031045D" w:rsidRPr="00EA7114" w:rsidRDefault="00FB71A3" w:rsidP="00FB71A3">
      <w:pPr>
        <w:pStyle w:val="Heading2"/>
        <w:tabs>
          <w:tab w:val="center" w:pos="5400"/>
          <w:tab w:val="left" w:pos="10710"/>
        </w:tabs>
        <w:jc w:val="left"/>
      </w:pPr>
      <w:r>
        <w:rPr>
          <w:highlight w:val="lightGray"/>
        </w:rPr>
        <w:lastRenderedPageBreak/>
        <w:tab/>
      </w:r>
      <w:r w:rsidR="0031045D" w:rsidRPr="00FB71A3">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16E2EB69"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1A6DD67E" w:rsidR="00193084" w:rsidRPr="00EA7114" w:rsidRDefault="009631DF" w:rsidP="00E65420">
      <w:pPr>
        <w:pStyle w:val="ListParagraph"/>
        <w:numPr>
          <w:ilvl w:val="0"/>
          <w:numId w:val="13"/>
        </w:numPr>
        <w:rPr>
          <w:bCs/>
        </w:rPr>
      </w:pPr>
      <w:r w:rsidRPr="00EA7114">
        <w:rPr>
          <w:bCs/>
        </w:rPr>
        <w:t>Semester credit</w:t>
      </w:r>
      <w:r w:rsidR="003F0A2B" w:rsidRPr="00EA7114">
        <w:rPr>
          <w:bCs/>
        </w:rPr>
        <w:t>s</w:t>
      </w:r>
      <w:r w:rsidR="00345029" w:rsidRPr="00EA7114">
        <w:rPr>
          <w:bCs/>
        </w:rPr>
        <w:t xml:space="preserve"> </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3F186200" w:rsidR="00FA0042" w:rsidRPr="00EA7114" w:rsidRDefault="00ED2E02"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3EFC326D" w:rsidR="00ED2E02"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6C274CB2" w14:textId="77777777" w:rsidR="00ED2E02" w:rsidRDefault="00ED2E02">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4198B544" w14:textId="746CB364" w:rsidR="0057658C" w:rsidRDefault="0057658C" w:rsidP="002B4305">
      <w:pPr>
        <w:spacing w:line="276" w:lineRule="auto"/>
        <w:rPr>
          <w:bCs/>
          <w:color w:val="000000" w:themeColor="text1"/>
          <w:bdr w:val="none" w:sz="0" w:space="0" w:color="auto" w:frame="1"/>
          <w:shd w:val="clear" w:color="auto" w:fill="FFFFFF"/>
        </w:rPr>
      </w:pPr>
      <w:r w:rsidRPr="0057658C">
        <w:rPr>
          <w:b/>
          <w:bCs/>
          <w:i/>
          <w:color w:val="000000" w:themeColor="text1"/>
          <w:bdr w:val="none" w:sz="0" w:space="0" w:color="auto" w:frame="1"/>
          <w:shd w:val="clear" w:color="auto" w:fill="FFFFFF"/>
        </w:rPr>
        <w:t>Civic Engagement</w:t>
      </w:r>
      <w:r w:rsidRPr="0057658C">
        <w:rPr>
          <w:bCs/>
          <w:color w:val="000000" w:themeColor="text1"/>
          <w:bdr w:val="none" w:sz="0" w:space="0" w:color="auto" w:frame="1"/>
          <w:shd w:val="clear" w:color="auto" w:fill="FFFFFF"/>
        </w:rPr>
        <w:t> </w:t>
      </w:r>
      <w:r>
        <w:rPr>
          <w:bCs/>
          <w:color w:val="000000" w:themeColor="text1"/>
          <w:bdr w:val="none" w:sz="0" w:space="0" w:color="auto" w:frame="1"/>
          <w:shd w:val="clear" w:color="auto" w:fill="FFFFFF"/>
        </w:rPr>
        <w:t>is</w:t>
      </w:r>
      <w:r w:rsidRPr="0057658C">
        <w:rPr>
          <w:bCs/>
          <w:color w:val="000000" w:themeColor="text1"/>
          <w:bdr w:val="none" w:sz="0" w:space="0" w:color="auto" w:frame="1"/>
          <w:shd w:val="clear" w:color="auto" w:fill="FFFFFF"/>
        </w:rPr>
        <w:t xml:space="preserve"> "working to make a difference in the civic life of our communities and developing the combination of knowledge, skills, values and motivation to make that difference. It means promoting the quality of life in a community, through both political and non-political processes." (Excerpted from Civic Responsibility and Higher Education, edited by Thomas Ehrlich, published by Oryx Press, 2000, Preface, page vi.) In addition, civic engagement encompasses actions wherein individuals participate in activities of personal and public concern that are both individually life enriching and socially beneficial to the community. </w:t>
      </w:r>
      <w:r w:rsidRPr="0057658C">
        <w:rPr>
          <w:b/>
          <w:bCs/>
          <w:i/>
          <w:iCs/>
          <w:color w:val="000000" w:themeColor="text1"/>
          <w:bdr w:val="none" w:sz="0" w:space="0" w:color="auto" w:frame="1"/>
          <w:shd w:val="clear" w:color="auto" w:fill="FFFFFF"/>
        </w:rPr>
        <w:t>Civic Engagement Dimensions</w:t>
      </w:r>
      <w:r w:rsidRPr="0057658C">
        <w:rPr>
          <w:bCs/>
          <w:color w:val="000000" w:themeColor="text1"/>
          <w:bdr w:val="none" w:sz="0" w:space="0" w:color="auto" w:frame="1"/>
          <w:shd w:val="clear" w:color="auto" w:fill="FFFFFF"/>
        </w:rPr>
        <w:t>: 1) diversity of communities and cultures, 2) analysis of knowledge, 3) civic identify and commitment, 4) civic communication, 5) civic action and reflection, 6) civic contexts/structures.</w:t>
      </w:r>
    </w:p>
    <w:p w14:paraId="2663F21A" w14:textId="77777777" w:rsidR="0057658C" w:rsidRDefault="0057658C" w:rsidP="002B4305">
      <w:pPr>
        <w:spacing w:line="276" w:lineRule="auto"/>
        <w:rPr>
          <w:bCs/>
          <w:color w:val="000000" w:themeColor="text1"/>
          <w:bdr w:val="none" w:sz="0" w:space="0" w:color="auto" w:frame="1"/>
          <w:shd w:val="clear" w:color="auto" w:fill="FFFFFF"/>
        </w:rPr>
      </w:pPr>
    </w:p>
    <w:p w14:paraId="2932B24F" w14:textId="1A6EC40D"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73A2F1F1" w:rsidR="00A778DA" w:rsidRPr="00ED2E02" w:rsidRDefault="009E48DF" w:rsidP="00B50C4D">
      <w:pPr>
        <w:pStyle w:val="ListParagraph"/>
        <w:widowControl w:val="0"/>
        <w:numPr>
          <w:ilvl w:val="0"/>
          <w:numId w:val="10"/>
        </w:numPr>
        <w:autoSpaceDE w:val="0"/>
        <w:autoSpaceDN w:val="0"/>
        <w:adjustRightInd w:val="0"/>
        <w:spacing w:line="276" w:lineRule="auto"/>
        <w:ind w:left="0"/>
        <w:jc w:val="both"/>
        <w:rPr>
          <w:bCs/>
          <w:color w:val="000000" w:themeColor="text1"/>
        </w:rPr>
      </w:pPr>
      <w:r w:rsidRPr="00ED2E02">
        <w:rPr>
          <w:bCs/>
          <w:color w:val="000000" w:themeColor="text1"/>
        </w:rPr>
        <w:t>Provide a</w:t>
      </w:r>
      <w:r w:rsidR="001563BA" w:rsidRPr="00ED2E02">
        <w:rPr>
          <w:bCs/>
          <w:color w:val="000000" w:themeColor="text1"/>
        </w:rPr>
        <w:t xml:space="preserve"> brief</w:t>
      </w:r>
      <w:r w:rsidRPr="00ED2E02">
        <w:rPr>
          <w:bCs/>
          <w:color w:val="000000" w:themeColor="text1"/>
        </w:rPr>
        <w:t xml:space="preserve"> explanation of</w:t>
      </w:r>
      <w:r w:rsidR="00316D78" w:rsidRPr="00ED2E02">
        <w:rPr>
          <w:bCs/>
          <w:color w:val="000000" w:themeColor="text1"/>
        </w:rPr>
        <w:t xml:space="preserve"> how this course aligns to </w:t>
      </w:r>
      <w:r w:rsidR="00FC6E41" w:rsidRPr="00ED2E02">
        <w:rPr>
          <w:b/>
          <w:i/>
          <w:iCs/>
          <w:color w:val="000000" w:themeColor="text1"/>
        </w:rPr>
        <w:t>Civic Engagement</w:t>
      </w:r>
      <w:r w:rsidRPr="00ED2E02">
        <w:rPr>
          <w:bCs/>
          <w:color w:val="000000" w:themeColor="text1"/>
        </w:rPr>
        <w:t>.</w:t>
      </w:r>
    </w:p>
    <w:p w14:paraId="27C86DE6" w14:textId="4F2CD4B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DEBE90A" w:rsidR="002006C5" w:rsidRPr="005D7349" w:rsidRDefault="002006C5" w:rsidP="005D7349">
      <w:pPr>
        <w:rPr>
          <w:bCs/>
          <w:color w:val="000000" w:themeColor="text1"/>
        </w:rPr>
      </w:pPr>
    </w:p>
    <w:p w14:paraId="2C0406E1" w14:textId="0E05779A" w:rsidR="003F14AB" w:rsidRPr="00ED2E02" w:rsidRDefault="00CF2316" w:rsidP="00DA67C0">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Civic Engagement</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5D7349">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5D04CE26" w:rsidR="003F14AB" w:rsidRPr="00EA7114" w:rsidRDefault="00CF2316"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Civic Engagement</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46239DC" w14:textId="5D66686B" w:rsidR="00ED2E02" w:rsidRPr="005D7349" w:rsidRDefault="005D7349" w:rsidP="00012A8E">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sidRPr="005D7349">
        <w:rPr>
          <w:bCs/>
          <w:color w:val="000000" w:themeColor="text1"/>
        </w:rPr>
        <w:t>Describe</w:t>
      </w:r>
      <w:r w:rsidR="0031045D" w:rsidRPr="005D7349">
        <w:rPr>
          <w:bCs/>
          <w:color w:val="000000" w:themeColor="text1"/>
        </w:rPr>
        <w:t xml:space="preserve"> how </w:t>
      </w:r>
      <w:r w:rsidR="00F058A1" w:rsidRPr="005D7349">
        <w:rPr>
          <w:bCs/>
          <w:color w:val="000000" w:themeColor="text1"/>
        </w:rPr>
        <w:t>the pedagogies and assignments</w:t>
      </w:r>
      <w:r w:rsidR="0031045D" w:rsidRPr="005D7349">
        <w:rPr>
          <w:bCs/>
          <w:color w:val="000000" w:themeColor="text1"/>
        </w:rPr>
        <w:t xml:space="preserve"> </w:t>
      </w:r>
      <w:r w:rsidRPr="005D7349">
        <w:rPr>
          <w:color w:val="000000"/>
          <w:bdr w:val="none" w:sz="0" w:space="0" w:color="auto" w:frame="1"/>
        </w:rPr>
        <w:t>utilized to develop proficiency in Civic Engagement encourage development of higher-level thinking skills (</w:t>
      </w:r>
      <w:proofErr w:type="gramStart"/>
      <w:r w:rsidRPr="005D7349">
        <w:rPr>
          <w:color w:val="000000"/>
          <w:bdr w:val="none" w:sz="0" w:space="0" w:color="auto" w:frame="1"/>
        </w:rPr>
        <w:t>i.e.</w:t>
      </w:r>
      <w:proofErr w:type="gramEnd"/>
      <w:r w:rsidRPr="005D7349">
        <w:rPr>
          <w:color w:val="000000"/>
          <w:bdr w:val="none" w:sz="0" w:space="0" w:color="auto" w:frame="1"/>
        </w:rPr>
        <w:t xml:space="preserve"> apply, analyze, evaluate, create).</w:t>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39EA70C6"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FC6E41">
        <w:rPr>
          <w:b/>
          <w:i/>
          <w:iCs/>
          <w:color w:val="000000" w:themeColor="text1"/>
        </w:rPr>
        <w:t>Civic Engagement</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FC6E41">
        <w:rPr>
          <w:b/>
          <w:i/>
          <w:iCs/>
          <w:color w:val="000000" w:themeColor="text1"/>
          <w:sz w:val="23"/>
          <w:szCs w:val="23"/>
        </w:rPr>
        <w:t>diversity of communities and cultures</w:t>
      </w:r>
      <w:r w:rsidR="001B6BD9" w:rsidRPr="00EA7114">
        <w:rPr>
          <w:b/>
          <w:i/>
          <w:iCs/>
          <w:color w:val="000000" w:themeColor="text1"/>
          <w:sz w:val="23"/>
          <w:szCs w:val="23"/>
        </w:rPr>
        <w:t xml:space="preserve">, 2) </w:t>
      </w:r>
      <w:r w:rsidR="00FC6E41">
        <w:rPr>
          <w:b/>
          <w:i/>
          <w:iCs/>
          <w:color w:val="000000" w:themeColor="text1"/>
          <w:sz w:val="23"/>
          <w:szCs w:val="23"/>
        </w:rPr>
        <w:t>analysis of knowledge</w:t>
      </w:r>
      <w:r w:rsidR="001B6BD9" w:rsidRPr="00EA7114">
        <w:rPr>
          <w:b/>
          <w:i/>
          <w:iCs/>
          <w:color w:val="000000" w:themeColor="text1"/>
          <w:sz w:val="23"/>
          <w:szCs w:val="23"/>
        </w:rPr>
        <w:t xml:space="preserve">, 3) </w:t>
      </w:r>
      <w:r w:rsidR="00FC6E41">
        <w:rPr>
          <w:b/>
          <w:i/>
          <w:iCs/>
          <w:color w:val="000000" w:themeColor="text1"/>
          <w:sz w:val="23"/>
          <w:szCs w:val="23"/>
        </w:rPr>
        <w:t>civic identity and commitment</w:t>
      </w:r>
      <w:r w:rsidR="001B6BD9" w:rsidRPr="00EA7114">
        <w:rPr>
          <w:b/>
          <w:i/>
          <w:iCs/>
          <w:color w:val="000000" w:themeColor="text1"/>
          <w:sz w:val="23"/>
          <w:szCs w:val="23"/>
        </w:rPr>
        <w:t xml:space="preserve">, 4) </w:t>
      </w:r>
      <w:r w:rsidR="00FC6E41">
        <w:rPr>
          <w:b/>
          <w:i/>
          <w:iCs/>
          <w:color w:val="000000" w:themeColor="text1"/>
          <w:sz w:val="23"/>
          <w:szCs w:val="23"/>
        </w:rPr>
        <w:t>civic communication</w:t>
      </w:r>
      <w:r w:rsidR="001B6BD9" w:rsidRPr="00EA7114">
        <w:rPr>
          <w:b/>
          <w:i/>
          <w:iCs/>
          <w:color w:val="000000" w:themeColor="text1"/>
          <w:sz w:val="23"/>
          <w:szCs w:val="23"/>
        </w:rPr>
        <w:t xml:space="preserve">, 5) </w:t>
      </w:r>
      <w:r w:rsidR="00FC6E41">
        <w:rPr>
          <w:b/>
          <w:i/>
          <w:iCs/>
          <w:color w:val="000000" w:themeColor="text1"/>
          <w:sz w:val="23"/>
          <w:szCs w:val="23"/>
        </w:rPr>
        <w:t>civic action and reflection</w:t>
      </w:r>
      <w:r w:rsidR="001B6BD9" w:rsidRPr="00EA7114">
        <w:rPr>
          <w:b/>
          <w:i/>
          <w:iCs/>
          <w:color w:val="000000" w:themeColor="text1"/>
          <w:sz w:val="23"/>
          <w:szCs w:val="23"/>
        </w:rPr>
        <w:t>, 6)</w:t>
      </w:r>
      <w:r w:rsidR="00FC6E41">
        <w:rPr>
          <w:b/>
          <w:i/>
          <w:iCs/>
          <w:color w:val="000000" w:themeColor="text1"/>
          <w:sz w:val="23"/>
          <w:szCs w:val="23"/>
        </w:rPr>
        <w:t xml:space="preserve"> civic contexts/structures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0752778E"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 </w:t>
      </w:r>
    </w:p>
    <w:p w14:paraId="65BD1FA2" w14:textId="77777777" w:rsidR="00C21103" w:rsidRPr="00EA7114" w:rsidRDefault="00C21103" w:rsidP="003E4388">
      <w:pPr>
        <w:rPr>
          <w:bCs/>
          <w:color w:val="000000" w:themeColor="text1"/>
          <w:shd w:val="clear" w:color="auto" w:fill="FFFFFF"/>
        </w:rPr>
      </w:pPr>
    </w:p>
    <w:p w14:paraId="357DB6CB" w14:textId="5A91AB1D"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FC6E41">
        <w:rPr>
          <w:b/>
          <w:i/>
          <w:iCs/>
          <w:color w:val="000000" w:themeColor="text1"/>
        </w:rPr>
        <w:t>Civic Engagement</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4EA64576" w:rsidR="001B6BD9" w:rsidRPr="00EA7114" w:rsidRDefault="00FC6E41" w:rsidP="001B6BD9">
      <w:pPr>
        <w:pStyle w:val="ListParagraph"/>
        <w:numPr>
          <w:ilvl w:val="0"/>
          <w:numId w:val="22"/>
        </w:numPr>
        <w:rPr>
          <w:bCs/>
          <w:color w:val="000000" w:themeColor="text1"/>
        </w:rPr>
      </w:pPr>
      <w:r>
        <w:rPr>
          <w:bCs/>
          <w:color w:val="000000" w:themeColor="text1"/>
        </w:rPr>
        <w:t>Diversity of communities and cultures</w:t>
      </w:r>
    </w:p>
    <w:p w14:paraId="6074A5EE" w14:textId="023672C9" w:rsidR="001B6BD9" w:rsidRPr="00EA7114" w:rsidRDefault="00FC6E41" w:rsidP="001B6BD9">
      <w:pPr>
        <w:pStyle w:val="ListParagraph"/>
        <w:numPr>
          <w:ilvl w:val="0"/>
          <w:numId w:val="22"/>
        </w:numPr>
        <w:rPr>
          <w:bCs/>
          <w:color w:val="000000" w:themeColor="text1"/>
        </w:rPr>
      </w:pPr>
      <w:r>
        <w:rPr>
          <w:bCs/>
          <w:color w:val="000000" w:themeColor="text1"/>
        </w:rPr>
        <w:t>Analysis of knowledge</w:t>
      </w:r>
    </w:p>
    <w:p w14:paraId="73F35B1D" w14:textId="5A2D9395" w:rsidR="001B6BD9" w:rsidRPr="00EA7114" w:rsidRDefault="00FC6E41" w:rsidP="001B6BD9">
      <w:pPr>
        <w:pStyle w:val="ListParagraph"/>
        <w:numPr>
          <w:ilvl w:val="0"/>
          <w:numId w:val="22"/>
        </w:numPr>
        <w:rPr>
          <w:bCs/>
          <w:color w:val="000000" w:themeColor="text1"/>
        </w:rPr>
      </w:pPr>
      <w:r>
        <w:rPr>
          <w:bCs/>
          <w:color w:val="000000" w:themeColor="text1"/>
        </w:rPr>
        <w:t>Civic identity and commitment</w:t>
      </w:r>
    </w:p>
    <w:p w14:paraId="78E0E8E9" w14:textId="6D5EB296" w:rsidR="001B6BD9" w:rsidRPr="00EA7114" w:rsidRDefault="00FC6E41" w:rsidP="001B6BD9">
      <w:pPr>
        <w:pStyle w:val="ListParagraph"/>
        <w:numPr>
          <w:ilvl w:val="0"/>
          <w:numId w:val="22"/>
        </w:numPr>
        <w:rPr>
          <w:bCs/>
          <w:color w:val="000000" w:themeColor="text1"/>
        </w:rPr>
      </w:pPr>
      <w:r>
        <w:rPr>
          <w:bCs/>
          <w:color w:val="000000" w:themeColor="text1"/>
        </w:rPr>
        <w:t>Civic communication</w:t>
      </w:r>
    </w:p>
    <w:p w14:paraId="225508BE" w14:textId="3CAECFFE" w:rsidR="001B6BD9" w:rsidRPr="00EA7114" w:rsidRDefault="00FC6E41" w:rsidP="001B6BD9">
      <w:pPr>
        <w:pStyle w:val="ListParagraph"/>
        <w:numPr>
          <w:ilvl w:val="0"/>
          <w:numId w:val="22"/>
        </w:numPr>
        <w:rPr>
          <w:bCs/>
          <w:color w:val="000000" w:themeColor="text1"/>
        </w:rPr>
      </w:pPr>
      <w:r>
        <w:rPr>
          <w:bCs/>
          <w:color w:val="000000" w:themeColor="text1"/>
        </w:rPr>
        <w:t>Civic action and reflection</w:t>
      </w:r>
    </w:p>
    <w:p w14:paraId="4690AA2E" w14:textId="38D9A1AB" w:rsidR="001B6BD9" w:rsidRPr="00EA7114" w:rsidRDefault="00FC6E41" w:rsidP="001B6BD9">
      <w:pPr>
        <w:pStyle w:val="ListParagraph"/>
        <w:numPr>
          <w:ilvl w:val="0"/>
          <w:numId w:val="22"/>
        </w:numPr>
        <w:rPr>
          <w:bCs/>
          <w:color w:val="000000" w:themeColor="text1"/>
        </w:rPr>
      </w:pPr>
      <w:r>
        <w:rPr>
          <w:bCs/>
          <w:color w:val="000000" w:themeColor="text1"/>
        </w:rPr>
        <w:t>Civic contexts/structures</w:t>
      </w:r>
    </w:p>
    <w:p w14:paraId="1D60B2E1" w14:textId="68BB759E" w:rsidR="008823E7" w:rsidRPr="00EA7114" w:rsidRDefault="00EA7114" w:rsidP="00EA7114">
      <w:pPr>
        <w:pStyle w:val="ListParagraph"/>
        <w:numPr>
          <w:ilvl w:val="0"/>
          <w:numId w:val="22"/>
        </w:numPr>
        <w:rPr>
          <w:bCs/>
          <w:color w:val="000000" w:themeColor="text1"/>
        </w:rPr>
        <w:sectPr w:rsidR="008823E7"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w:t>
      </w:r>
      <w:r w:rsidR="004A6759" w:rsidRPr="00EA7114">
        <w:rPr>
          <w:bCs/>
          <w:color w:val="000000" w:themeColor="text1"/>
        </w:rPr>
        <w:t xml:space="preserve">completed </w:t>
      </w:r>
      <w:r w:rsidR="009223DA" w:rsidRPr="00EA7114">
        <w:rPr>
          <w:bCs/>
          <w:color w:val="000000" w:themeColor="text1"/>
        </w:rPr>
        <w:t>d</w:t>
      </w:r>
      <w:r w:rsidR="004A6759" w:rsidRPr="00EA7114">
        <w:rPr>
          <w:bCs/>
          <w:color w:val="000000" w:themeColor="text1"/>
        </w:rPr>
        <w:t>epartment</w:t>
      </w:r>
      <w:r w:rsidR="001563BA" w:rsidRPr="00EA7114">
        <w:rPr>
          <w:bCs/>
          <w:color w:val="000000" w:themeColor="text1"/>
        </w:rPr>
        <w:t>-</w:t>
      </w:r>
      <w:r w:rsidR="004A6759" w:rsidRPr="00EA7114">
        <w:rPr>
          <w:bCs/>
          <w:color w:val="000000" w:themeColor="text1"/>
        </w:rPr>
        <w:t xml:space="preserve">approved </w:t>
      </w:r>
      <w:hyperlink r:id="rId30" w:history="1">
        <w:r w:rsidR="004A6759" w:rsidRPr="00403677">
          <w:rPr>
            <w:rStyle w:val="Hyperlink"/>
            <w:bCs/>
            <w:i/>
            <w:iCs/>
          </w:rPr>
          <w:t xml:space="preserve">ILC </w:t>
        </w:r>
        <w:r w:rsidRPr="00403677">
          <w:rPr>
            <w:rStyle w:val="Hyperlink"/>
            <w:bCs/>
            <w:i/>
            <w:iCs/>
          </w:rPr>
          <w:t>C</w:t>
        </w:r>
        <w:r w:rsidR="004A6759" w:rsidRPr="00403677">
          <w:rPr>
            <w:rStyle w:val="Hyperlink"/>
            <w:bCs/>
            <w:i/>
            <w:iCs/>
          </w:rPr>
          <w:t xml:space="preserve">ourse </w:t>
        </w:r>
        <w:r w:rsidRPr="00403677">
          <w:rPr>
            <w:rStyle w:val="Hyperlink"/>
            <w:bCs/>
            <w:i/>
            <w:iCs/>
          </w:rPr>
          <w:t>A</w:t>
        </w:r>
        <w:r w:rsidR="004A6759" w:rsidRPr="00403677">
          <w:rPr>
            <w:rStyle w:val="Hyperlink"/>
            <w:bCs/>
            <w:i/>
            <w:iCs/>
          </w:rPr>
          <w:t xml:space="preserve">ssessment </w:t>
        </w:r>
        <w:r w:rsidRPr="00403677">
          <w:rPr>
            <w:rStyle w:val="Hyperlink"/>
            <w:bCs/>
            <w:i/>
            <w:iCs/>
          </w:rPr>
          <w:t>P</w:t>
        </w:r>
        <w:r w:rsidR="004A6759" w:rsidRPr="00403677">
          <w:rPr>
            <w:rStyle w:val="Hyperlink"/>
            <w:bCs/>
            <w:i/>
            <w:iCs/>
          </w:rPr>
          <w:t>lan</w:t>
        </w:r>
      </w:hyperlink>
      <w:r w:rsidR="009F4670" w:rsidRPr="00EA7114">
        <w:rPr>
          <w:bCs/>
          <w:color w:val="000000" w:themeColor="text1"/>
        </w:rPr>
        <w:t xml:space="preserve"> based on non-</w:t>
      </w:r>
      <w:r w:rsidRPr="00EA7114">
        <w:rPr>
          <w:bCs/>
          <w:color w:val="000000" w:themeColor="text1"/>
        </w:rPr>
        <w:t xml:space="preserve">default </w:t>
      </w:r>
      <w:r w:rsidR="009F4670" w:rsidRPr="00EA7114">
        <w:rPr>
          <w:bCs/>
          <w:color w:val="000000" w:themeColor="text1"/>
        </w:rPr>
        <w:t>rubric dimension(s) for the course</w:t>
      </w:r>
      <w:r w:rsidR="004A6759" w:rsidRPr="00EA7114">
        <w:rPr>
          <w:bCs/>
          <w:color w:val="000000" w:themeColor="text1"/>
        </w:rPr>
        <w:t xml:space="preserve">. </w:t>
      </w:r>
      <w:r w:rsidR="009223DA" w:rsidRPr="00EA7114">
        <w:rPr>
          <w:bCs/>
        </w:rPr>
        <w:t xml:space="preserve"> </w:t>
      </w:r>
      <w:r w:rsidR="003B7AB9" w:rsidRPr="00FB71A3">
        <w:rPr>
          <w:bCs/>
          <w:color w:val="7030A0"/>
        </w:rPr>
        <w:t>Skip to Section Four</w:t>
      </w:r>
      <w:r w:rsidRPr="00FB71A3">
        <w:rPr>
          <w:bCs/>
          <w:color w:val="7030A0"/>
        </w:rPr>
        <w:t>.</w:t>
      </w:r>
    </w:p>
    <w:p w14:paraId="2CABC793" w14:textId="6BC55B2C" w:rsidR="00872797" w:rsidRDefault="00872797" w:rsidP="009223DA"/>
    <w:p w14:paraId="759F55D2" w14:textId="7CAC3E5D" w:rsidR="00ED2E02" w:rsidRDefault="00ED2E02"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086BC186" w14:textId="4E6B1A96" w:rsidR="00C63196" w:rsidRPr="00C632D3" w:rsidRDefault="00C63196" w:rsidP="00C63196">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F24CE8">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31" w:history="1">
        <w:r w:rsidRPr="00957813">
          <w:rPr>
            <w:rStyle w:val="Hyperlink"/>
            <w:bdr w:val="none" w:sz="0" w:space="0" w:color="auto" w:frame="1"/>
          </w:rPr>
          <w:t>ILC Instrument(s) Choices and Assessment Guidance</w:t>
        </w:r>
      </w:hyperlink>
      <w:r w:rsidRPr="00957813">
        <w:rPr>
          <w:color w:val="000000" w:themeColor="text1"/>
          <w:u w:val="single"/>
          <w:bdr w:val="none" w:sz="0" w:space="0" w:color="auto" w:frame="1"/>
        </w:rPr>
        <w:t>.</w:t>
      </w:r>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4E8B2284"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612BC0">
        <w:rPr>
          <w:b/>
          <w:bCs/>
          <w:i/>
          <w:iCs/>
          <w:color w:val="000000" w:themeColor="text1"/>
        </w:rPr>
        <w:t>Civic Engagement</w:t>
      </w:r>
      <w:r w:rsidRPr="00EA7114">
        <w:rPr>
          <w:b/>
          <w:bCs/>
          <w:color w:val="000000" w:themeColor="text1"/>
        </w:rPr>
        <w:t xml:space="preserve"> </w:t>
      </w:r>
      <w:hyperlink r:id="rId32" w:history="1">
        <w:r w:rsidR="00EA7114" w:rsidRPr="00C63196">
          <w:rPr>
            <w:rStyle w:val="Hyperlink"/>
          </w:rPr>
          <w:t>R</w:t>
        </w:r>
        <w:r w:rsidRPr="00C63196">
          <w:rPr>
            <w:rStyle w:val="Hyperlink"/>
          </w:rPr>
          <w:t>ubri</w:t>
        </w:r>
        <w:r w:rsidRPr="00C63196">
          <w:rPr>
            <w:rStyle w:val="Hyperlink"/>
          </w:rPr>
          <w:t>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54DEEF93"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32D78FD4" w14:textId="61F4E911" w:rsidR="00292726" w:rsidRPr="00FB71A3" w:rsidRDefault="00292726" w:rsidP="00292726">
      <w:r w:rsidRPr="00FB71A3">
        <w:rPr>
          <w:rFonts w:eastAsiaTheme="minorHAnsi"/>
          <w:i/>
          <w:iCs/>
          <w:sz w:val="21"/>
          <w:szCs w:val="21"/>
        </w:rPr>
        <w:t xml:space="preserve">The assessment criteria for assessing </w:t>
      </w:r>
      <w:r w:rsidR="00F46B1A" w:rsidRPr="00FB71A3">
        <w:rPr>
          <w:rFonts w:eastAsiaTheme="minorHAnsi"/>
          <w:i/>
          <w:iCs/>
          <w:sz w:val="21"/>
          <w:szCs w:val="21"/>
        </w:rPr>
        <w:t>civic action and reflection</w:t>
      </w:r>
      <w:r w:rsidRPr="00FB71A3">
        <w:rPr>
          <w:rFonts w:eastAsiaTheme="minorHAnsi"/>
          <w:i/>
          <w:iCs/>
          <w:sz w:val="21"/>
          <w:szCs w:val="21"/>
        </w:rPr>
        <w:t xml:space="preserve"> is:</w:t>
      </w:r>
    </w:p>
    <w:p w14:paraId="12B58AAA" w14:textId="77777777" w:rsidR="00292726" w:rsidRPr="00FB71A3" w:rsidRDefault="00292726" w:rsidP="00292726">
      <w:pPr>
        <w:numPr>
          <w:ilvl w:val="0"/>
          <w:numId w:val="27"/>
        </w:numPr>
      </w:pPr>
      <w:r w:rsidRPr="00FB71A3">
        <w:rPr>
          <w:i/>
          <w:iCs/>
          <w:sz w:val="21"/>
          <w:szCs w:val="21"/>
        </w:rPr>
        <w:t>Exceeding: Students receiving a score of 90 or above (out of 100).  </w:t>
      </w:r>
    </w:p>
    <w:p w14:paraId="59955CA5" w14:textId="77777777" w:rsidR="00292726" w:rsidRPr="00FB71A3" w:rsidRDefault="00292726" w:rsidP="00292726">
      <w:pPr>
        <w:numPr>
          <w:ilvl w:val="0"/>
          <w:numId w:val="27"/>
        </w:numPr>
      </w:pPr>
      <w:r w:rsidRPr="00FB71A3">
        <w:rPr>
          <w:i/>
          <w:iCs/>
          <w:sz w:val="21"/>
          <w:szCs w:val="21"/>
        </w:rPr>
        <w:t>Meeting: Students receiving a score of 80-89.9  </w:t>
      </w:r>
    </w:p>
    <w:p w14:paraId="52100B52" w14:textId="77777777" w:rsidR="00292726" w:rsidRPr="00FB71A3" w:rsidRDefault="00292726" w:rsidP="00292726">
      <w:pPr>
        <w:numPr>
          <w:ilvl w:val="0"/>
          <w:numId w:val="27"/>
        </w:numPr>
      </w:pPr>
      <w:r w:rsidRPr="00FB71A3">
        <w:rPr>
          <w:i/>
          <w:iCs/>
          <w:sz w:val="21"/>
          <w:szCs w:val="21"/>
        </w:rPr>
        <w:t>Approaching: Students receiving a score of 70-79.9 </w:t>
      </w:r>
    </w:p>
    <w:p w14:paraId="4C8F1969" w14:textId="5AAF4B7F" w:rsidR="00292726" w:rsidRPr="00FB71A3" w:rsidRDefault="00292726" w:rsidP="00292726">
      <w:pPr>
        <w:numPr>
          <w:ilvl w:val="0"/>
          <w:numId w:val="27"/>
        </w:numPr>
      </w:pPr>
      <w:r w:rsidRPr="00FB71A3">
        <w:rPr>
          <w:i/>
          <w:iCs/>
          <w:sz w:val="21"/>
          <w:szCs w:val="21"/>
        </w:rPr>
        <w:t>Not Approaching: Students receiving a score of 69.9 and below</w:t>
      </w:r>
    </w:p>
    <w:p w14:paraId="28CEBC12" w14:textId="77777777" w:rsidR="00292726" w:rsidRPr="00FB71A3" w:rsidRDefault="00292726" w:rsidP="00292726">
      <w:pPr>
        <w:autoSpaceDE w:val="0"/>
        <w:autoSpaceDN w:val="0"/>
        <w:adjustRightInd w:val="0"/>
        <w:rPr>
          <w:rFonts w:eastAsiaTheme="minorHAnsi"/>
          <w:i/>
          <w:iCs/>
          <w:sz w:val="21"/>
          <w:szCs w:val="21"/>
        </w:rPr>
      </w:pPr>
    </w:p>
    <w:p w14:paraId="1E11B9BC" w14:textId="72A50F32" w:rsidR="00292726" w:rsidRPr="00FB71A3" w:rsidRDefault="00292726" w:rsidP="00292726">
      <w:pPr>
        <w:autoSpaceDE w:val="0"/>
        <w:autoSpaceDN w:val="0"/>
        <w:adjustRightInd w:val="0"/>
        <w:rPr>
          <w:rFonts w:eastAsiaTheme="minorHAnsi"/>
          <w:i/>
          <w:iCs/>
          <w:sz w:val="21"/>
          <w:szCs w:val="21"/>
        </w:rPr>
      </w:pPr>
      <w:r w:rsidRPr="00FB71A3">
        <w:rPr>
          <w:rFonts w:eastAsiaTheme="minorHAnsi"/>
          <w:i/>
          <w:iCs/>
          <w:sz w:val="21"/>
          <w:szCs w:val="21"/>
        </w:rPr>
        <w:t>The assessment criteria for assessing</w:t>
      </w:r>
      <w:r w:rsidRPr="00FB71A3">
        <w:rPr>
          <w:i/>
          <w:iCs/>
          <w:sz w:val="21"/>
          <w:szCs w:val="21"/>
          <w:shd w:val="clear" w:color="auto" w:fill="FFFFFF"/>
        </w:rPr>
        <w:t xml:space="preserve"> </w:t>
      </w:r>
      <w:r w:rsidR="00F46B1A" w:rsidRPr="00FB71A3">
        <w:rPr>
          <w:i/>
          <w:iCs/>
          <w:sz w:val="21"/>
          <w:szCs w:val="21"/>
          <w:shd w:val="clear" w:color="auto" w:fill="FFFFFF"/>
        </w:rPr>
        <w:t>analysis of knowledge</w:t>
      </w:r>
      <w:r w:rsidRPr="00FB71A3">
        <w:rPr>
          <w:rFonts w:eastAsiaTheme="minorHAnsi"/>
          <w:i/>
          <w:iCs/>
          <w:sz w:val="21"/>
          <w:szCs w:val="21"/>
        </w:rPr>
        <w:t xml:space="preserve"> is: </w:t>
      </w:r>
    </w:p>
    <w:p w14:paraId="290F27CE" w14:textId="77777777" w:rsidR="00292726" w:rsidRPr="00FB71A3" w:rsidRDefault="00292726" w:rsidP="00292726">
      <w:pPr>
        <w:numPr>
          <w:ilvl w:val="0"/>
          <w:numId w:val="28"/>
        </w:numPr>
      </w:pPr>
      <w:r w:rsidRPr="00FB71A3">
        <w:rPr>
          <w:i/>
          <w:iCs/>
          <w:sz w:val="21"/>
          <w:szCs w:val="21"/>
        </w:rPr>
        <w:t>Exceeding: Student answers 10-11 questions correctly </w:t>
      </w:r>
    </w:p>
    <w:p w14:paraId="4576E0C1" w14:textId="77777777" w:rsidR="00292726" w:rsidRPr="00FB71A3" w:rsidRDefault="00292726" w:rsidP="00292726">
      <w:pPr>
        <w:numPr>
          <w:ilvl w:val="0"/>
          <w:numId w:val="28"/>
        </w:numPr>
      </w:pPr>
      <w:r w:rsidRPr="00FB71A3">
        <w:rPr>
          <w:i/>
          <w:iCs/>
          <w:sz w:val="21"/>
          <w:szCs w:val="21"/>
        </w:rPr>
        <w:t>Meeting: Student answers 7-9 questions correctly </w:t>
      </w:r>
    </w:p>
    <w:p w14:paraId="7C991A8F" w14:textId="77777777" w:rsidR="00292726" w:rsidRPr="00FB71A3" w:rsidRDefault="00292726" w:rsidP="00292726">
      <w:pPr>
        <w:numPr>
          <w:ilvl w:val="0"/>
          <w:numId w:val="28"/>
        </w:numPr>
      </w:pPr>
      <w:r w:rsidRPr="00FB71A3">
        <w:rPr>
          <w:i/>
          <w:iCs/>
          <w:sz w:val="21"/>
          <w:szCs w:val="21"/>
        </w:rPr>
        <w:t>Approaching: Student answers 5-6 questions correctly </w:t>
      </w:r>
    </w:p>
    <w:p w14:paraId="189CE6F9" w14:textId="77777777" w:rsidR="00292726" w:rsidRPr="00FB71A3" w:rsidRDefault="00292726" w:rsidP="00292726">
      <w:pPr>
        <w:numPr>
          <w:ilvl w:val="0"/>
          <w:numId w:val="28"/>
        </w:numPr>
      </w:pPr>
      <w:r w:rsidRPr="00FB71A3">
        <w:rPr>
          <w:i/>
          <w:iCs/>
          <w:sz w:val="21"/>
          <w:szCs w:val="21"/>
        </w:rPr>
        <w:t>Not approaching: Student answers below 1-4 questions correctly </w:t>
      </w:r>
    </w:p>
    <w:p w14:paraId="0799D045" w14:textId="77777777" w:rsidR="00292726" w:rsidRPr="00883FCF" w:rsidRDefault="00292726"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56A2BB02" w14:textId="1BD28C63" w:rsidR="00ED2E02" w:rsidRDefault="00CF2316" w:rsidP="00ED2E02">
      <w:pPr>
        <w:pStyle w:val="ListParagraph"/>
        <w:numPr>
          <w:ilvl w:val="0"/>
          <w:numId w:val="10"/>
        </w:numPr>
        <w:ind w:left="90"/>
        <w:rPr>
          <w:color w:val="000000" w:themeColor="text1"/>
        </w:rPr>
      </w:pPr>
      <w:r w:rsidRPr="009A508F">
        <w:rPr>
          <w:bdr w:val="none" w:sz="0" w:space="0" w:color="auto" w:frame="1"/>
        </w:rPr>
        <w:t xml:space="preserve">Departments must sample no fewer than </w:t>
      </w:r>
      <w:proofErr w:type="gramStart"/>
      <w:r w:rsidRPr="009A508F">
        <w:rPr>
          <w:bdr w:val="none" w:sz="0" w:space="0" w:color="auto" w:frame="1"/>
        </w:rPr>
        <w:t>a majority of</w:t>
      </w:r>
      <w:proofErr w:type="gramEnd"/>
      <w:r w:rsidRPr="009A508F">
        <w:rPr>
          <w:bdr w:val="none" w:sz="0" w:space="0" w:color="auto" w:frame="1"/>
        </w:rPr>
        <w:t xml:space="preserve"> sections annually for each course. At least one of those sections must come from each semester the course is taught, including summer and </w:t>
      </w:r>
      <w:r w:rsidR="00B744B8" w:rsidRPr="00F31BD1">
        <w:rPr>
          <w:bdr w:val="none" w:sz="0" w:space="0" w:color="auto" w:frame="1"/>
        </w:rPr>
        <w:t xml:space="preserve">intersession </w:t>
      </w:r>
      <w:r w:rsidR="00B744B8" w:rsidRPr="00F31BD1">
        <w:rPr>
          <w:b/>
          <w:bCs/>
          <w:i/>
          <w:iCs/>
          <w:color w:val="000000"/>
          <w:bdr w:val="none" w:sz="0" w:space="0" w:color="auto" w:frame="1"/>
        </w:rPr>
        <w:t>(with the exception of sections taught as part of a Study Abroad program)</w:t>
      </w:r>
      <w:r w:rsidRPr="00F31BD1">
        <w:rPr>
          <w:bdr w:val="none" w:sz="0" w:space="0" w:color="auto" w:frame="1"/>
        </w:rPr>
        <w:t xml:space="preserve">. In addition, at least one section must come from each modality (in-person, hybrid, remote, asynchronous) by which the course is taught. </w:t>
      </w:r>
      <w:r w:rsidRPr="00F31BD1">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120505FB" w14:textId="77777777" w:rsidR="00ED2E02" w:rsidRDefault="00ED2E02">
      <w:pPr>
        <w:rPr>
          <w:color w:val="000000" w:themeColor="text1"/>
        </w:rPr>
      </w:pPr>
      <w:r>
        <w:rPr>
          <w:color w:val="000000" w:themeColor="text1"/>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2956EE09"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363162">
        <w:rPr>
          <w:color w:val="000000" w:themeColor="text1"/>
        </w:rPr>
        <w:t>and Formal Reasoning</w:t>
      </w:r>
      <w:r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175CDBF5"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363162">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26BD7B27"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083A60">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Pr="00403677" w:rsidRDefault="00977BEA" w:rsidP="00977BEA">
      <w:pPr>
        <w:tabs>
          <w:tab w:val="left" w:pos="1120"/>
        </w:tabs>
      </w:pPr>
      <w:r w:rsidRPr="00403677">
        <w:t xml:space="preserve">Before submitting an Integrative Learning Core (ILC) course proposal, please ensure all components in the checklist are complete. </w:t>
      </w:r>
    </w:p>
    <w:p w14:paraId="1B655F17" w14:textId="1AFDB8DE" w:rsidR="00977BEA" w:rsidRPr="00403677" w:rsidRDefault="00977BEA" w:rsidP="00977BEA">
      <w:pPr>
        <w:tabs>
          <w:tab w:val="left" w:pos="1120"/>
        </w:tabs>
      </w:pPr>
    </w:p>
    <w:p w14:paraId="12A9E961" w14:textId="6A793C87" w:rsidR="00977BEA" w:rsidRPr="00403677" w:rsidRDefault="00977BEA" w:rsidP="00977BEA">
      <w:pPr>
        <w:pStyle w:val="ListParagraph"/>
        <w:numPr>
          <w:ilvl w:val="0"/>
          <w:numId w:val="26"/>
        </w:numPr>
        <w:tabs>
          <w:tab w:val="left" w:pos="1120"/>
        </w:tabs>
      </w:pPr>
      <w:r w:rsidRPr="00403677">
        <w:t xml:space="preserve">Signature page is signed by all parties. </w:t>
      </w:r>
    </w:p>
    <w:p w14:paraId="7FA943B8" w14:textId="71DC298F" w:rsidR="00977BEA" w:rsidRPr="00403677" w:rsidRDefault="00977BEA" w:rsidP="00977BEA">
      <w:pPr>
        <w:pStyle w:val="ListParagraph"/>
        <w:numPr>
          <w:ilvl w:val="0"/>
          <w:numId w:val="26"/>
        </w:numPr>
        <w:tabs>
          <w:tab w:val="left" w:pos="1120"/>
        </w:tabs>
      </w:pPr>
      <w:r w:rsidRPr="00403677">
        <w:t xml:space="preserve">All sections and questions of the ILC course proposal are completed. </w:t>
      </w:r>
    </w:p>
    <w:p w14:paraId="547E1F50" w14:textId="4D49208D" w:rsidR="00977BEA" w:rsidRPr="00403677" w:rsidRDefault="00977BEA" w:rsidP="00977BEA">
      <w:pPr>
        <w:pStyle w:val="ListParagraph"/>
        <w:numPr>
          <w:ilvl w:val="0"/>
          <w:numId w:val="26"/>
        </w:numPr>
        <w:tabs>
          <w:tab w:val="left" w:pos="1120"/>
        </w:tabs>
      </w:pPr>
      <w:r w:rsidRPr="00403677">
        <w:t xml:space="preserve">If other was indicated for Question 11, the </w:t>
      </w:r>
      <w:proofErr w:type="gramStart"/>
      <w:r w:rsidRPr="00403677">
        <w:t>department-approved</w:t>
      </w:r>
      <w:proofErr w:type="gramEnd"/>
      <w:r w:rsidRPr="00403677">
        <w:t xml:space="preserve"> ILC Course Assessment Plan is attached. </w:t>
      </w:r>
    </w:p>
    <w:p w14:paraId="2167FB24" w14:textId="7A9C0B15" w:rsidR="00977BEA" w:rsidRPr="00403677" w:rsidRDefault="00977BEA" w:rsidP="00977BEA">
      <w:pPr>
        <w:pStyle w:val="ListParagraph"/>
        <w:numPr>
          <w:ilvl w:val="0"/>
          <w:numId w:val="26"/>
        </w:numPr>
        <w:tabs>
          <w:tab w:val="left" w:pos="1120"/>
        </w:tabs>
      </w:pPr>
      <w:r w:rsidRPr="00403677">
        <w:t>A sample syllabus with the ILC language is attached.</w:t>
      </w:r>
    </w:p>
    <w:p w14:paraId="7F30A1C1" w14:textId="7EABC83C" w:rsidR="00403677" w:rsidRPr="00403677" w:rsidRDefault="00403677" w:rsidP="00403677">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3" w:history="1">
        <w:r w:rsidRPr="00403677">
          <w:rPr>
            <w:rStyle w:val="Hyperlink"/>
            <w:shd w:val="clear" w:color="auto" w:fill="FFFFFF"/>
          </w:rPr>
          <w:t>ILC Frequency Policy and Justification Procedure.</w:t>
        </w:r>
      </w:hyperlink>
    </w:p>
    <w:p w14:paraId="4F6218EB" w14:textId="77777777" w:rsidR="00403677" w:rsidRPr="00403677" w:rsidRDefault="00403677" w:rsidP="00403677">
      <w:pPr>
        <w:pStyle w:val="ListParagraph"/>
        <w:tabs>
          <w:tab w:val="left" w:pos="1120"/>
        </w:tabs>
      </w:pPr>
    </w:p>
    <w:p w14:paraId="2D135170" w14:textId="749B2BD2" w:rsidR="00977BEA" w:rsidRPr="00403677" w:rsidRDefault="00977BEA" w:rsidP="00977BEA">
      <w:pPr>
        <w:tabs>
          <w:tab w:val="left" w:pos="1120"/>
        </w:tabs>
      </w:pPr>
    </w:p>
    <w:p w14:paraId="6E9BD4A7" w14:textId="6B3A0553" w:rsidR="00977BEA" w:rsidRPr="00403677" w:rsidRDefault="00977BEA" w:rsidP="00977BEA">
      <w:pPr>
        <w:tabs>
          <w:tab w:val="left" w:pos="1120"/>
        </w:tabs>
      </w:pPr>
    </w:p>
    <w:p w14:paraId="1EBCF84B" w14:textId="0A179C41" w:rsidR="00977BEA" w:rsidRPr="00403677" w:rsidRDefault="00977BEA" w:rsidP="00977BEA">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4" w:history="1">
        <w:r w:rsidRPr="00403677">
          <w:rPr>
            <w:rStyle w:val="Hyperlink"/>
          </w:rPr>
          <w:t>gened@lsu.edu.</w:t>
        </w:r>
      </w:hyperlink>
    </w:p>
    <w:p w14:paraId="2BEB2855" w14:textId="77777777" w:rsidR="00977BEA" w:rsidRPr="00977BEA" w:rsidRDefault="00977BEA" w:rsidP="00977BEA">
      <w:pPr>
        <w:tabs>
          <w:tab w:val="left" w:pos="1120"/>
        </w:tabs>
      </w:pPr>
    </w:p>
    <w:sectPr w:rsidR="00977BEA" w:rsidRPr="00977BEA" w:rsidSect="00F20DD5">
      <w:headerReference w:type="even" r:id="rId35"/>
      <w:headerReference w:type="default" r:id="rId36"/>
      <w:footerReference w:type="even" r:id="rId37"/>
      <w:footerReference w:type="default" r:id="rId38"/>
      <w:head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4E6E" w14:textId="77777777" w:rsidR="00AE2520" w:rsidRDefault="00AE2520" w:rsidP="00107F1C">
      <w:r>
        <w:separator/>
      </w:r>
    </w:p>
  </w:endnote>
  <w:endnote w:type="continuationSeparator" w:id="0">
    <w:p w14:paraId="0B67B89C" w14:textId="77777777" w:rsidR="00AE2520" w:rsidRDefault="00AE2520"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01BC989F" w:rsidR="00977BEA" w:rsidRDefault="00977BEA" w:rsidP="00977BEA">
    <w:pPr>
      <w:pStyle w:val="Footer"/>
    </w:pPr>
    <w:r>
      <w:t xml:space="preserve">Approved </w:t>
    </w:r>
    <w:r w:rsidR="00F31BD1">
      <w:t>July 27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173ABAF5" w:rsidR="00977BEA" w:rsidRDefault="00977BEA" w:rsidP="00977BEA">
    <w:pPr>
      <w:pStyle w:val="Footer"/>
    </w:pPr>
    <w:r>
      <w:t xml:space="preserve">Approved </w:t>
    </w:r>
    <w:r w:rsidR="00403677">
      <w:t>July</w:t>
    </w:r>
    <w:r>
      <w:t xml:space="preserve"> 2</w:t>
    </w:r>
    <w:r w:rsidR="00403677">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EFEE" w14:textId="77777777" w:rsidR="00AE2520" w:rsidRDefault="00AE2520" w:rsidP="00107F1C">
      <w:r>
        <w:separator/>
      </w:r>
    </w:p>
  </w:footnote>
  <w:footnote w:type="continuationSeparator" w:id="0">
    <w:p w14:paraId="1FBA3E34" w14:textId="77777777" w:rsidR="00AE2520" w:rsidRDefault="00AE2520"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7" name="Picture 7"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18" name="Picture 1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593D"/>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2946"/>
    <w:rsid w:val="00083A60"/>
    <w:rsid w:val="0008720C"/>
    <w:rsid w:val="00090852"/>
    <w:rsid w:val="000A2D83"/>
    <w:rsid w:val="000A4A2A"/>
    <w:rsid w:val="000B744D"/>
    <w:rsid w:val="000C743B"/>
    <w:rsid w:val="000E56F8"/>
    <w:rsid w:val="000E6FB4"/>
    <w:rsid w:val="00105177"/>
    <w:rsid w:val="00107F1C"/>
    <w:rsid w:val="00110547"/>
    <w:rsid w:val="00112195"/>
    <w:rsid w:val="00120A15"/>
    <w:rsid w:val="00123BBC"/>
    <w:rsid w:val="001542F3"/>
    <w:rsid w:val="0015526C"/>
    <w:rsid w:val="001563BA"/>
    <w:rsid w:val="00161721"/>
    <w:rsid w:val="00172BC7"/>
    <w:rsid w:val="00173738"/>
    <w:rsid w:val="0019251A"/>
    <w:rsid w:val="00193084"/>
    <w:rsid w:val="001A4D76"/>
    <w:rsid w:val="001B6BD9"/>
    <w:rsid w:val="001E4E77"/>
    <w:rsid w:val="001F1D8E"/>
    <w:rsid w:val="001F3433"/>
    <w:rsid w:val="002006C5"/>
    <w:rsid w:val="00201329"/>
    <w:rsid w:val="00206098"/>
    <w:rsid w:val="002068DF"/>
    <w:rsid w:val="0021009F"/>
    <w:rsid w:val="00211257"/>
    <w:rsid w:val="002370F7"/>
    <w:rsid w:val="00250B26"/>
    <w:rsid w:val="00250F40"/>
    <w:rsid w:val="0028251E"/>
    <w:rsid w:val="002861EC"/>
    <w:rsid w:val="00292726"/>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2F724D"/>
    <w:rsid w:val="00302240"/>
    <w:rsid w:val="0031045D"/>
    <w:rsid w:val="00316D78"/>
    <w:rsid w:val="003255C5"/>
    <w:rsid w:val="00330A5F"/>
    <w:rsid w:val="003410DD"/>
    <w:rsid w:val="00345029"/>
    <w:rsid w:val="003500FE"/>
    <w:rsid w:val="003511A0"/>
    <w:rsid w:val="00354D66"/>
    <w:rsid w:val="00363162"/>
    <w:rsid w:val="00367CA3"/>
    <w:rsid w:val="00375EB1"/>
    <w:rsid w:val="003819CE"/>
    <w:rsid w:val="003831D0"/>
    <w:rsid w:val="003A2F24"/>
    <w:rsid w:val="003A2FDA"/>
    <w:rsid w:val="003B7AB9"/>
    <w:rsid w:val="003E39AD"/>
    <w:rsid w:val="003E4388"/>
    <w:rsid w:val="003E78C3"/>
    <w:rsid w:val="003F0A2B"/>
    <w:rsid w:val="003F14AB"/>
    <w:rsid w:val="003F7EC0"/>
    <w:rsid w:val="00403677"/>
    <w:rsid w:val="004125E8"/>
    <w:rsid w:val="00412B36"/>
    <w:rsid w:val="0041348E"/>
    <w:rsid w:val="004238CF"/>
    <w:rsid w:val="00435FBB"/>
    <w:rsid w:val="004371C0"/>
    <w:rsid w:val="004532D4"/>
    <w:rsid w:val="00453CEA"/>
    <w:rsid w:val="00460B3C"/>
    <w:rsid w:val="00466A4F"/>
    <w:rsid w:val="00475C7D"/>
    <w:rsid w:val="004814CB"/>
    <w:rsid w:val="004814E1"/>
    <w:rsid w:val="00486CEC"/>
    <w:rsid w:val="004929E1"/>
    <w:rsid w:val="004964E1"/>
    <w:rsid w:val="004A45F8"/>
    <w:rsid w:val="004A6759"/>
    <w:rsid w:val="004D3804"/>
    <w:rsid w:val="004F0427"/>
    <w:rsid w:val="004F2F63"/>
    <w:rsid w:val="00500200"/>
    <w:rsid w:val="00511722"/>
    <w:rsid w:val="00532497"/>
    <w:rsid w:val="0054296A"/>
    <w:rsid w:val="00553976"/>
    <w:rsid w:val="00560B19"/>
    <w:rsid w:val="005635E7"/>
    <w:rsid w:val="00564195"/>
    <w:rsid w:val="00574AB4"/>
    <w:rsid w:val="0057658C"/>
    <w:rsid w:val="005908AC"/>
    <w:rsid w:val="00593606"/>
    <w:rsid w:val="005A1385"/>
    <w:rsid w:val="005A4890"/>
    <w:rsid w:val="005B4F93"/>
    <w:rsid w:val="005B67DE"/>
    <w:rsid w:val="005C39EE"/>
    <w:rsid w:val="005C7148"/>
    <w:rsid w:val="005D1357"/>
    <w:rsid w:val="005D1C07"/>
    <w:rsid w:val="005D6408"/>
    <w:rsid w:val="005D6BCE"/>
    <w:rsid w:val="005D7349"/>
    <w:rsid w:val="005E5E0F"/>
    <w:rsid w:val="005E7624"/>
    <w:rsid w:val="005F0713"/>
    <w:rsid w:val="005F1C03"/>
    <w:rsid w:val="005F2229"/>
    <w:rsid w:val="005F703E"/>
    <w:rsid w:val="00600AE2"/>
    <w:rsid w:val="00602893"/>
    <w:rsid w:val="006030E6"/>
    <w:rsid w:val="00603EB7"/>
    <w:rsid w:val="00612BC0"/>
    <w:rsid w:val="00621183"/>
    <w:rsid w:val="00621C02"/>
    <w:rsid w:val="0062654F"/>
    <w:rsid w:val="0065139D"/>
    <w:rsid w:val="00663456"/>
    <w:rsid w:val="0067283C"/>
    <w:rsid w:val="00673D18"/>
    <w:rsid w:val="0067594B"/>
    <w:rsid w:val="0069357C"/>
    <w:rsid w:val="00694C0D"/>
    <w:rsid w:val="006964D0"/>
    <w:rsid w:val="006B02F3"/>
    <w:rsid w:val="006B075D"/>
    <w:rsid w:val="006B54ED"/>
    <w:rsid w:val="006C1FDB"/>
    <w:rsid w:val="006C25E3"/>
    <w:rsid w:val="006D38C7"/>
    <w:rsid w:val="00716F6B"/>
    <w:rsid w:val="00730B01"/>
    <w:rsid w:val="00735D7D"/>
    <w:rsid w:val="0074104C"/>
    <w:rsid w:val="007450B0"/>
    <w:rsid w:val="00746EBE"/>
    <w:rsid w:val="00757E66"/>
    <w:rsid w:val="00772189"/>
    <w:rsid w:val="00776FB5"/>
    <w:rsid w:val="00777C64"/>
    <w:rsid w:val="0078136C"/>
    <w:rsid w:val="00786F6B"/>
    <w:rsid w:val="007A2789"/>
    <w:rsid w:val="007A4032"/>
    <w:rsid w:val="007A6B01"/>
    <w:rsid w:val="007B3645"/>
    <w:rsid w:val="007B7FF4"/>
    <w:rsid w:val="007F3A87"/>
    <w:rsid w:val="007F4B05"/>
    <w:rsid w:val="007F599E"/>
    <w:rsid w:val="007F6A71"/>
    <w:rsid w:val="00815A12"/>
    <w:rsid w:val="008278CF"/>
    <w:rsid w:val="00835C6E"/>
    <w:rsid w:val="00840E70"/>
    <w:rsid w:val="008414D0"/>
    <w:rsid w:val="00841FEB"/>
    <w:rsid w:val="00871020"/>
    <w:rsid w:val="00872797"/>
    <w:rsid w:val="008823E7"/>
    <w:rsid w:val="00882CAA"/>
    <w:rsid w:val="00883FCF"/>
    <w:rsid w:val="008A0EE5"/>
    <w:rsid w:val="008A164E"/>
    <w:rsid w:val="008A38C1"/>
    <w:rsid w:val="008A3BB3"/>
    <w:rsid w:val="008B2FFA"/>
    <w:rsid w:val="008D0851"/>
    <w:rsid w:val="008D701B"/>
    <w:rsid w:val="008D7A04"/>
    <w:rsid w:val="008F21D5"/>
    <w:rsid w:val="00902025"/>
    <w:rsid w:val="0091244C"/>
    <w:rsid w:val="009223DA"/>
    <w:rsid w:val="0094020B"/>
    <w:rsid w:val="00945824"/>
    <w:rsid w:val="00957813"/>
    <w:rsid w:val="009610BD"/>
    <w:rsid w:val="00961763"/>
    <w:rsid w:val="00961BE9"/>
    <w:rsid w:val="009631DF"/>
    <w:rsid w:val="00966573"/>
    <w:rsid w:val="00977BEA"/>
    <w:rsid w:val="00981C8F"/>
    <w:rsid w:val="00983E24"/>
    <w:rsid w:val="0098517B"/>
    <w:rsid w:val="009967DA"/>
    <w:rsid w:val="0099763A"/>
    <w:rsid w:val="009A18D4"/>
    <w:rsid w:val="009B2147"/>
    <w:rsid w:val="009B3F01"/>
    <w:rsid w:val="009C4F34"/>
    <w:rsid w:val="009C64FC"/>
    <w:rsid w:val="009C6A26"/>
    <w:rsid w:val="009C766F"/>
    <w:rsid w:val="009D4C42"/>
    <w:rsid w:val="009D75A3"/>
    <w:rsid w:val="009E028A"/>
    <w:rsid w:val="009E48DF"/>
    <w:rsid w:val="009F4670"/>
    <w:rsid w:val="009F70EE"/>
    <w:rsid w:val="00A13EEB"/>
    <w:rsid w:val="00A2017F"/>
    <w:rsid w:val="00A23D0B"/>
    <w:rsid w:val="00A360E4"/>
    <w:rsid w:val="00A51934"/>
    <w:rsid w:val="00A55EC2"/>
    <w:rsid w:val="00A571EC"/>
    <w:rsid w:val="00A70745"/>
    <w:rsid w:val="00A778DA"/>
    <w:rsid w:val="00AB7127"/>
    <w:rsid w:val="00AB71E8"/>
    <w:rsid w:val="00AB72EA"/>
    <w:rsid w:val="00AB78FC"/>
    <w:rsid w:val="00AC73A6"/>
    <w:rsid w:val="00AD3935"/>
    <w:rsid w:val="00AD4622"/>
    <w:rsid w:val="00AD6033"/>
    <w:rsid w:val="00AE2520"/>
    <w:rsid w:val="00AF2B47"/>
    <w:rsid w:val="00AF3138"/>
    <w:rsid w:val="00B0055E"/>
    <w:rsid w:val="00B02C3E"/>
    <w:rsid w:val="00B24673"/>
    <w:rsid w:val="00B24EA3"/>
    <w:rsid w:val="00B34FBE"/>
    <w:rsid w:val="00B37078"/>
    <w:rsid w:val="00B375F9"/>
    <w:rsid w:val="00B37AC9"/>
    <w:rsid w:val="00B53AFA"/>
    <w:rsid w:val="00B54CCB"/>
    <w:rsid w:val="00B54DCC"/>
    <w:rsid w:val="00B54E2E"/>
    <w:rsid w:val="00B6415E"/>
    <w:rsid w:val="00B744B8"/>
    <w:rsid w:val="00B84436"/>
    <w:rsid w:val="00B85613"/>
    <w:rsid w:val="00B95032"/>
    <w:rsid w:val="00B97640"/>
    <w:rsid w:val="00BC572F"/>
    <w:rsid w:val="00BD5A18"/>
    <w:rsid w:val="00BD714F"/>
    <w:rsid w:val="00C07176"/>
    <w:rsid w:val="00C114E3"/>
    <w:rsid w:val="00C11E93"/>
    <w:rsid w:val="00C21103"/>
    <w:rsid w:val="00C212E3"/>
    <w:rsid w:val="00C21536"/>
    <w:rsid w:val="00C24164"/>
    <w:rsid w:val="00C24BFA"/>
    <w:rsid w:val="00C37D06"/>
    <w:rsid w:val="00C63196"/>
    <w:rsid w:val="00C6333B"/>
    <w:rsid w:val="00C66C01"/>
    <w:rsid w:val="00C7447B"/>
    <w:rsid w:val="00C75E56"/>
    <w:rsid w:val="00C766AE"/>
    <w:rsid w:val="00C87F7D"/>
    <w:rsid w:val="00C97A03"/>
    <w:rsid w:val="00CA3925"/>
    <w:rsid w:val="00CB0A0A"/>
    <w:rsid w:val="00CB4BB6"/>
    <w:rsid w:val="00CB5B4F"/>
    <w:rsid w:val="00CC1553"/>
    <w:rsid w:val="00CD35B2"/>
    <w:rsid w:val="00CE2699"/>
    <w:rsid w:val="00CE35ED"/>
    <w:rsid w:val="00CE6721"/>
    <w:rsid w:val="00CF2316"/>
    <w:rsid w:val="00D00544"/>
    <w:rsid w:val="00D02D59"/>
    <w:rsid w:val="00D05D2A"/>
    <w:rsid w:val="00D151B5"/>
    <w:rsid w:val="00D240F9"/>
    <w:rsid w:val="00D25FC7"/>
    <w:rsid w:val="00D3036E"/>
    <w:rsid w:val="00D324EA"/>
    <w:rsid w:val="00D42A99"/>
    <w:rsid w:val="00D651F3"/>
    <w:rsid w:val="00D73F8A"/>
    <w:rsid w:val="00D82A20"/>
    <w:rsid w:val="00D8538B"/>
    <w:rsid w:val="00D87F40"/>
    <w:rsid w:val="00D95095"/>
    <w:rsid w:val="00DB31FC"/>
    <w:rsid w:val="00DB40DB"/>
    <w:rsid w:val="00DC7B69"/>
    <w:rsid w:val="00DD0394"/>
    <w:rsid w:val="00DD2850"/>
    <w:rsid w:val="00DD7F97"/>
    <w:rsid w:val="00DE1B67"/>
    <w:rsid w:val="00DE4698"/>
    <w:rsid w:val="00DF78CC"/>
    <w:rsid w:val="00E12C1F"/>
    <w:rsid w:val="00E24C5A"/>
    <w:rsid w:val="00E329F7"/>
    <w:rsid w:val="00E35E61"/>
    <w:rsid w:val="00E37861"/>
    <w:rsid w:val="00E43CCA"/>
    <w:rsid w:val="00E50008"/>
    <w:rsid w:val="00E54B48"/>
    <w:rsid w:val="00E57046"/>
    <w:rsid w:val="00E65420"/>
    <w:rsid w:val="00E7226E"/>
    <w:rsid w:val="00E764C4"/>
    <w:rsid w:val="00E775C7"/>
    <w:rsid w:val="00E9382E"/>
    <w:rsid w:val="00E96BA2"/>
    <w:rsid w:val="00EA489A"/>
    <w:rsid w:val="00EA7114"/>
    <w:rsid w:val="00EA78E7"/>
    <w:rsid w:val="00EC46A6"/>
    <w:rsid w:val="00EC6A3C"/>
    <w:rsid w:val="00ED2E02"/>
    <w:rsid w:val="00ED2EDF"/>
    <w:rsid w:val="00ED773F"/>
    <w:rsid w:val="00EE14A6"/>
    <w:rsid w:val="00EE4EF4"/>
    <w:rsid w:val="00EE6121"/>
    <w:rsid w:val="00EF1137"/>
    <w:rsid w:val="00F02D84"/>
    <w:rsid w:val="00F03B89"/>
    <w:rsid w:val="00F058A1"/>
    <w:rsid w:val="00F070F9"/>
    <w:rsid w:val="00F11342"/>
    <w:rsid w:val="00F20DD5"/>
    <w:rsid w:val="00F2167F"/>
    <w:rsid w:val="00F233BC"/>
    <w:rsid w:val="00F24CE8"/>
    <w:rsid w:val="00F301F4"/>
    <w:rsid w:val="00F31BD1"/>
    <w:rsid w:val="00F377A6"/>
    <w:rsid w:val="00F42625"/>
    <w:rsid w:val="00F4502C"/>
    <w:rsid w:val="00F46B1A"/>
    <w:rsid w:val="00F474F9"/>
    <w:rsid w:val="00F52ACD"/>
    <w:rsid w:val="00F57993"/>
    <w:rsid w:val="00F77126"/>
    <w:rsid w:val="00F8361E"/>
    <w:rsid w:val="00F859CC"/>
    <w:rsid w:val="00F9592F"/>
    <w:rsid w:val="00F969D8"/>
    <w:rsid w:val="00FA0042"/>
    <w:rsid w:val="00FA522A"/>
    <w:rsid w:val="00FA5A39"/>
    <w:rsid w:val="00FB71A3"/>
    <w:rsid w:val="00FC5471"/>
    <w:rsid w:val="00FC6673"/>
    <w:rsid w:val="00FC6E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C63196"/>
    <w:rPr>
      <w:color w:val="605E5C"/>
      <w:shd w:val="clear" w:color="auto" w:fill="E1DFDD"/>
    </w:rPr>
  </w:style>
  <w:style w:type="character" w:styleId="UnresolvedMention">
    <w:name w:val="Unresolved Mention"/>
    <w:basedOn w:val="DefaultParagraphFont"/>
    <w:uiPriority w:val="99"/>
    <w:semiHidden/>
    <w:unhideWhenUsed/>
    <w:rsid w:val="00403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7991481">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27139200">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6718179">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0.emf"/><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https://www.insidehighered.com/news/2018/02/23/study-students-believe-they-are-prepared-workplace-employers-disagree" TargetMode="External"/><Relationship Id="rId34" Type="http://schemas.openxmlformats.org/officeDocument/2006/relationships/hyperlink" Target="mailto:gened@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hyperlink" Target="https://www.aacu.org/sites/default/files/files/LEAP/2015_Survey_Report2_GEtrends.pdf"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s://www.lsu.edu/oie/ilc/assessment/rubrics/civicengagement.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mailto:gened@lsu.edu"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lsu.edu/senate/about/ilc/background/ilchistory.php" TargetMode="External"/><Relationship Id="rId31" Type="http://schemas.openxmlformats.org/officeDocument/2006/relationships/hyperlink" Target="https://www.lsu.edu/oie/ilc/assessment/files/directmeasures.pdf" TargetMode="External"/><Relationship Id="rId4" Type="http://schemas.openxmlformats.org/officeDocument/2006/relationships/settings" Target="settings.xml"/><Relationship Id="rId9" Type="http://schemas.openxmlformats.org/officeDocument/2006/relationships/hyperlink" Target="https://www.lsu.edu/senate/about/ilc/faculty/files/signatureformlive.pdf" TargetMode="External"/><Relationship Id="rId14" Type="http://schemas.openxmlformats.org/officeDocument/2006/relationships/image" Target="media/image3.emf"/><Relationship Id="rId22" Type="http://schemas.openxmlformats.org/officeDocument/2006/relationships/hyperlink" Target="https://www.insidehighered.com/news/2015/01/20/study-finds-big-gaps-between-student-and-employer-perceptions" TargetMode="External"/><Relationship Id="rId27" Type="http://schemas.openxmlformats.org/officeDocument/2006/relationships/footer" Target="footer4.xml"/><Relationship Id="rId30" Type="http://schemas.openxmlformats.org/officeDocument/2006/relationships/hyperlink" Target="https://www.lsu.edu/senate/about/ilc/faculty/courseproposals/departmentlevelplan.docx"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0.emf"/><Relationship Id="rId25" Type="http://schemas.openxmlformats.org/officeDocument/2006/relationships/header" Target="header3.xml"/><Relationship Id="rId33" Type="http://schemas.openxmlformats.org/officeDocument/2006/relationships/hyperlink" Target="https://www.lsu.edu/senate/about/ilc/faculty/files/frequencypolicyandjustificationprocedure.pdf" TargetMode="External"/><Relationship Id="rId38"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8843-A267-491F-B7AD-CEA145B3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Integrative Learning Core Course Proposal for Civic Engagement</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Civic Engagement</dc:title>
  <dc:subject/>
  <dc:creator>Tara Rose</dc:creator>
  <cp:keywords/>
  <dc:description/>
  <cp:lastModifiedBy>Integrative L Core</cp:lastModifiedBy>
  <cp:revision>9</cp:revision>
  <cp:lastPrinted>2020-04-28T16:32:00Z</cp:lastPrinted>
  <dcterms:created xsi:type="dcterms:W3CDTF">2021-07-27T19:31:00Z</dcterms:created>
  <dcterms:modified xsi:type="dcterms:W3CDTF">2021-09-10T14:35:00Z</dcterms:modified>
</cp:coreProperties>
</file>